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E62" w:rsidRPr="00643118" w:rsidRDefault="004A582C" w:rsidP="00FC6EA4">
      <w:pPr>
        <w:rPr>
          <w:rFonts w:ascii="Arial" w:hAnsi="Arial" w:cs="Arial"/>
          <w:b/>
          <w:bCs/>
          <w:sz w:val="22"/>
        </w:rPr>
      </w:pPr>
      <w:r>
        <w:rPr>
          <w:rFonts w:ascii="Arial" w:hAnsi="Arial" w:cs="Arial" w:hint="eastAsia"/>
          <w:b/>
          <w:bCs/>
          <w:noProof/>
          <w:sz w:val="22"/>
        </w:rPr>
        <w:drawing>
          <wp:anchor distT="0" distB="0" distL="114300" distR="114300" simplePos="0" relativeHeight="251658240" behindDoc="0" locked="0" layoutInCell="1" allowOverlap="1" wp14:anchorId="37B19E33" wp14:editId="340ECEB7">
            <wp:simplePos x="0" y="0"/>
            <wp:positionH relativeFrom="column">
              <wp:posOffset>2488719</wp:posOffset>
            </wp:positionH>
            <wp:positionV relativeFrom="paragraph">
              <wp:posOffset>-15725</wp:posOffset>
            </wp:positionV>
            <wp:extent cx="1427098" cy="981655"/>
            <wp:effectExtent l="0" t="0" r="1905" b="9525"/>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7098" cy="98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EA4">
        <w:rPr>
          <w:rFonts w:ascii="Arial" w:hAnsi="Arial" w:cs="Arial" w:hint="eastAsia"/>
          <w:b/>
          <w:bCs/>
          <w:sz w:val="22"/>
        </w:rPr>
        <w:tab/>
      </w:r>
      <w:r w:rsidR="00FC6EA4">
        <w:rPr>
          <w:rFonts w:ascii="Arial" w:hAnsi="Arial" w:cs="Arial" w:hint="eastAsia"/>
          <w:b/>
          <w:bCs/>
          <w:sz w:val="22"/>
        </w:rPr>
        <w:tab/>
      </w:r>
      <w:r w:rsidR="00FC6EA4">
        <w:rPr>
          <w:rFonts w:ascii="Arial" w:hAnsi="Arial" w:cs="Arial" w:hint="eastAsia"/>
          <w:b/>
          <w:bCs/>
          <w:sz w:val="22"/>
        </w:rPr>
        <w:tab/>
      </w:r>
      <w:r w:rsidR="00234E62" w:rsidRPr="00643118">
        <w:rPr>
          <w:rFonts w:ascii="Arial" w:hAnsi="Arial" w:cs="Arial"/>
          <w:b/>
          <w:bCs/>
          <w:sz w:val="22"/>
        </w:rPr>
        <w:t>Total Viable Count</w:t>
      </w:r>
    </w:p>
    <w:p w:rsidR="00234E62" w:rsidRPr="00797D61" w:rsidRDefault="00D7647B" w:rsidP="00234E62">
      <w:pPr>
        <w:pStyle w:val="Default"/>
        <w:rPr>
          <w:sz w:val="20"/>
          <w:szCs w:val="20"/>
        </w:rPr>
      </w:pPr>
      <w:r>
        <w:rPr>
          <w:rFonts w:hint="eastAsia"/>
          <w:sz w:val="20"/>
          <w:szCs w:val="20"/>
        </w:rPr>
        <w:t>CBT-A01</w:t>
      </w:r>
    </w:p>
    <w:p w:rsidR="00234E62" w:rsidRPr="00643118" w:rsidRDefault="00116FD9" w:rsidP="00234E62">
      <w:pPr>
        <w:pStyle w:val="Default"/>
        <w:numPr>
          <w:ilvl w:val="0"/>
          <w:numId w:val="1"/>
        </w:numPr>
        <w:snapToGrid w:val="0"/>
        <w:rPr>
          <w:b/>
          <w:bCs/>
          <w:color w:val="002060"/>
          <w:sz w:val="20"/>
          <w:szCs w:val="20"/>
        </w:rPr>
      </w:pPr>
      <w:r>
        <w:rPr>
          <w:rFonts w:hint="eastAsia"/>
          <w:b/>
          <w:bCs/>
          <w:color w:val="002060"/>
          <w:sz w:val="20"/>
          <w:szCs w:val="20"/>
        </w:rPr>
        <w:t xml:space="preserve">Package </w:t>
      </w:r>
    </w:p>
    <w:p w:rsidR="002B1167" w:rsidRDefault="002B1167" w:rsidP="00957788">
      <w:pPr>
        <w:snapToGrid w:val="0"/>
        <w:rPr>
          <w:rFonts w:ascii="Arial" w:hAnsi="Arial" w:cs="Arial"/>
          <w:sz w:val="14"/>
          <w:szCs w:val="14"/>
        </w:rPr>
      </w:pPr>
    </w:p>
    <w:p w:rsidR="00234E62" w:rsidRPr="00116FD9" w:rsidRDefault="00116FD9" w:rsidP="00957788">
      <w:pPr>
        <w:snapToGrid w:val="0"/>
        <w:rPr>
          <w:rFonts w:ascii="Arial" w:hAnsi="Arial" w:cs="Arial"/>
          <w:sz w:val="14"/>
          <w:szCs w:val="14"/>
        </w:rPr>
      </w:pPr>
      <w:r w:rsidRPr="00DC5644">
        <w:rPr>
          <w:rFonts w:ascii="Arial" w:hAnsi="Arial" w:cs="Arial"/>
          <w:sz w:val="14"/>
          <w:szCs w:val="14"/>
        </w:rPr>
        <w:t>Vials ready for analysis and bottles of sterile demineralized water.</w:t>
      </w:r>
    </w:p>
    <w:p w:rsidR="00116FD9" w:rsidRPr="00643118" w:rsidRDefault="00116FD9" w:rsidP="00957788">
      <w:pPr>
        <w:snapToGrid w:val="0"/>
        <w:spacing w:line="80" w:lineRule="atLeast"/>
        <w:rPr>
          <w:rFonts w:ascii="Arial" w:hAnsi="Arial" w:cs="Arial"/>
          <w:sz w:val="14"/>
          <w:szCs w:val="14"/>
        </w:rPr>
      </w:pPr>
    </w:p>
    <w:p w:rsidR="00234E62" w:rsidRPr="00643118" w:rsidRDefault="00116FD9" w:rsidP="00234E62">
      <w:pPr>
        <w:pStyle w:val="Default"/>
        <w:numPr>
          <w:ilvl w:val="0"/>
          <w:numId w:val="1"/>
        </w:numPr>
        <w:snapToGrid w:val="0"/>
        <w:rPr>
          <w:b/>
          <w:bCs/>
          <w:color w:val="002060"/>
          <w:sz w:val="20"/>
          <w:szCs w:val="20"/>
        </w:rPr>
      </w:pPr>
      <w:r>
        <w:rPr>
          <w:rFonts w:hint="eastAsia"/>
          <w:b/>
          <w:bCs/>
          <w:color w:val="002060"/>
          <w:sz w:val="20"/>
          <w:szCs w:val="20"/>
        </w:rPr>
        <w:t>Use</w:t>
      </w:r>
    </w:p>
    <w:p w:rsidR="00234E62" w:rsidRPr="00643118" w:rsidRDefault="00234E62" w:rsidP="00234E62">
      <w:pPr>
        <w:snapToGrid w:val="0"/>
        <w:rPr>
          <w:rFonts w:ascii="Arial" w:hAnsi="Arial" w:cs="Arial"/>
          <w:sz w:val="14"/>
          <w:szCs w:val="14"/>
        </w:rPr>
      </w:pPr>
    </w:p>
    <w:p w:rsidR="00116FD9" w:rsidRPr="00DC5644" w:rsidRDefault="00116FD9" w:rsidP="00116FD9">
      <w:pPr>
        <w:pStyle w:val="Default"/>
        <w:snapToGrid w:val="0"/>
        <w:rPr>
          <w:sz w:val="14"/>
          <w:szCs w:val="14"/>
        </w:rPr>
      </w:pPr>
      <w:r w:rsidRPr="00DC5644">
        <w:rPr>
          <w:sz w:val="14"/>
          <w:szCs w:val="14"/>
        </w:rPr>
        <w:t xml:space="preserve">The MBS method can be used for selective detection and enumeration of microorganisms which may be present in the agro-food, water and on the surfaces of processed raw materials. </w:t>
      </w:r>
    </w:p>
    <w:p w:rsidR="00116FD9" w:rsidRPr="00DC5644" w:rsidRDefault="00116FD9" w:rsidP="00116FD9">
      <w:pPr>
        <w:pStyle w:val="Default"/>
        <w:snapToGrid w:val="0"/>
        <w:rPr>
          <w:sz w:val="14"/>
          <w:szCs w:val="14"/>
        </w:rPr>
      </w:pPr>
      <w:r w:rsidRPr="00DC5644">
        <w:rPr>
          <w:sz w:val="14"/>
          <w:szCs w:val="14"/>
        </w:rPr>
        <w:t xml:space="preserve">The product is a reagent for the detection of aerobic or microaerophilic mesophilic microorganisms able to grow on complete media. </w:t>
      </w:r>
    </w:p>
    <w:p w:rsidR="00116FD9" w:rsidRPr="00DC5644" w:rsidRDefault="00116FD9" w:rsidP="00116FD9">
      <w:pPr>
        <w:pStyle w:val="Default"/>
        <w:snapToGrid w:val="0"/>
        <w:rPr>
          <w:sz w:val="14"/>
          <w:szCs w:val="14"/>
        </w:rPr>
      </w:pPr>
      <w:r w:rsidRPr="00DC5644">
        <w:rPr>
          <w:sz w:val="14"/>
          <w:szCs w:val="14"/>
        </w:rPr>
        <w:t xml:space="preserve">The product can be used only inside the vials provided by </w:t>
      </w:r>
      <w:r w:rsidRPr="00DC5644">
        <w:rPr>
          <w:rFonts w:hint="eastAsia"/>
          <w:sz w:val="14"/>
          <w:szCs w:val="14"/>
        </w:rPr>
        <w:t>Royal Biotech</w:t>
      </w:r>
      <w:r w:rsidRPr="00DC5644">
        <w:rPr>
          <w:sz w:val="14"/>
          <w:szCs w:val="14"/>
        </w:rPr>
        <w:t>.</w:t>
      </w:r>
    </w:p>
    <w:p w:rsidR="00234E62" w:rsidRPr="00643118" w:rsidRDefault="00234E62" w:rsidP="00234E62">
      <w:pPr>
        <w:snapToGrid w:val="0"/>
        <w:rPr>
          <w:rFonts w:ascii="Arial" w:hAnsi="Arial" w:cs="Arial"/>
          <w:sz w:val="14"/>
          <w:szCs w:val="14"/>
        </w:rPr>
      </w:pPr>
    </w:p>
    <w:p w:rsidR="00234E62" w:rsidRPr="00643118" w:rsidRDefault="00D448CC" w:rsidP="00234E62">
      <w:pPr>
        <w:pStyle w:val="ab"/>
        <w:numPr>
          <w:ilvl w:val="0"/>
          <w:numId w:val="1"/>
        </w:numPr>
        <w:snapToGrid w:val="0"/>
        <w:ind w:leftChars="0"/>
        <w:rPr>
          <w:rFonts w:ascii="Arial" w:hAnsi="Arial" w:cs="Arial"/>
          <w:b/>
          <w:bCs/>
          <w:color w:val="002060"/>
          <w:szCs w:val="20"/>
        </w:rPr>
      </w:pPr>
      <w:r>
        <w:rPr>
          <w:rFonts w:ascii="Arial" w:hAnsi="Arial" w:cs="Arial" w:hint="eastAsia"/>
          <w:b/>
          <w:bCs/>
          <w:color w:val="002060"/>
          <w:szCs w:val="20"/>
        </w:rPr>
        <w:t>Principals</w:t>
      </w:r>
    </w:p>
    <w:p w:rsidR="00234E62" w:rsidRDefault="00234E62" w:rsidP="00234E62">
      <w:pPr>
        <w:snapToGrid w:val="0"/>
        <w:rPr>
          <w:rFonts w:ascii="Arial" w:eastAsia="新細明體" w:hAnsi="Arial" w:cs="Arial"/>
          <w:sz w:val="14"/>
          <w:szCs w:val="14"/>
        </w:rPr>
      </w:pPr>
    </w:p>
    <w:p w:rsidR="00B72C82" w:rsidRDefault="00D448CC" w:rsidP="00234E62">
      <w:pPr>
        <w:snapToGrid w:val="0"/>
        <w:rPr>
          <w:rFonts w:ascii="Arial" w:hAnsi="Arial" w:cs="Arial"/>
          <w:sz w:val="14"/>
          <w:szCs w:val="14"/>
        </w:rPr>
      </w:pPr>
      <w:r w:rsidRPr="00DC5644">
        <w:rPr>
          <w:rFonts w:ascii="Arial" w:hAnsi="Arial" w:cs="Arial"/>
          <w:sz w:val="14"/>
          <w:szCs w:val="14"/>
        </w:rPr>
        <w:t xml:space="preserve">The MBS method measures the enzyme catalytic activity oxidoreductase of primary metabolism, allowing you to establish a clear correspondence between the enzyme activity detected and the microbial load present in the sample. </w:t>
      </w:r>
    </w:p>
    <w:p w:rsidR="00D448CC" w:rsidRPr="00D448CC" w:rsidRDefault="00D448CC" w:rsidP="00234E62">
      <w:pPr>
        <w:snapToGrid w:val="0"/>
        <w:rPr>
          <w:rFonts w:ascii="Arial" w:hAnsi="Arial" w:cs="Arial"/>
          <w:sz w:val="14"/>
          <w:szCs w:val="14"/>
        </w:rPr>
      </w:pPr>
      <w:r w:rsidRPr="00DC5644">
        <w:rPr>
          <w:rFonts w:ascii="Arial" w:hAnsi="Arial" w:cs="Arial"/>
          <w:sz w:val="14"/>
          <w:szCs w:val="14"/>
        </w:rPr>
        <w:t xml:space="preserve">The method is based on the observation of a color change in the suspension formed in the bottle when inserted into the sample to be analyzed: the suspension changes color (turns) if there </w:t>
      </w:r>
      <w:proofErr w:type="gramStart"/>
      <w:r w:rsidRPr="00DC5644">
        <w:rPr>
          <w:rFonts w:ascii="Arial" w:hAnsi="Arial" w:cs="Arial"/>
          <w:sz w:val="14"/>
          <w:szCs w:val="14"/>
        </w:rPr>
        <w:t>are microorganisms, the greater the amount</w:t>
      </w:r>
      <w:proofErr w:type="gramEnd"/>
      <w:r w:rsidRPr="00DC5644">
        <w:rPr>
          <w:rFonts w:ascii="Arial" w:hAnsi="Arial" w:cs="Arial"/>
          <w:sz w:val="14"/>
          <w:szCs w:val="14"/>
        </w:rPr>
        <w:t xml:space="preserve"> of microorganisms, the faster the change of color.</w:t>
      </w:r>
    </w:p>
    <w:p w:rsidR="00D448CC" w:rsidRDefault="00D448CC" w:rsidP="00234E62">
      <w:pPr>
        <w:snapToGrid w:val="0"/>
        <w:rPr>
          <w:rFonts w:ascii="Arial" w:eastAsia="新細明體" w:hAnsi="Arial" w:cs="Arial"/>
          <w:sz w:val="14"/>
          <w:szCs w:val="14"/>
        </w:rPr>
      </w:pPr>
    </w:p>
    <w:p w:rsidR="00234E62" w:rsidRPr="00643118" w:rsidRDefault="00234E62" w:rsidP="00234E62">
      <w:pPr>
        <w:pStyle w:val="ab"/>
        <w:numPr>
          <w:ilvl w:val="0"/>
          <w:numId w:val="1"/>
        </w:numPr>
        <w:snapToGrid w:val="0"/>
        <w:ind w:leftChars="0"/>
        <w:rPr>
          <w:rFonts w:ascii="Arial" w:hAnsi="Arial" w:cs="Arial"/>
          <w:b/>
          <w:bCs/>
          <w:color w:val="002060"/>
          <w:szCs w:val="20"/>
        </w:rPr>
      </w:pPr>
      <w:r w:rsidRPr="00643118">
        <w:rPr>
          <w:rFonts w:ascii="Arial" w:hAnsi="Arial" w:cs="Arial"/>
          <w:b/>
          <w:bCs/>
          <w:color w:val="002060"/>
          <w:szCs w:val="20"/>
        </w:rPr>
        <w:t>F</w:t>
      </w:r>
      <w:r w:rsidR="00E20FE0">
        <w:rPr>
          <w:rFonts w:ascii="Arial" w:hAnsi="Arial" w:cs="Arial" w:hint="eastAsia"/>
          <w:b/>
          <w:bCs/>
          <w:color w:val="002060"/>
          <w:szCs w:val="20"/>
        </w:rPr>
        <w:t>eatures</w:t>
      </w:r>
    </w:p>
    <w:p w:rsidR="00234E62" w:rsidRDefault="00234E62" w:rsidP="00234E62">
      <w:pPr>
        <w:pStyle w:val="Default"/>
        <w:snapToGrid w:val="0"/>
        <w:spacing w:after="12"/>
        <w:rPr>
          <w:b/>
          <w:bCs/>
          <w:sz w:val="14"/>
          <w:szCs w:val="14"/>
        </w:rPr>
      </w:pPr>
    </w:p>
    <w:p w:rsidR="00E20FE0" w:rsidRPr="00DC5644" w:rsidRDefault="00E20FE0" w:rsidP="00E20FE0">
      <w:pPr>
        <w:snapToGrid w:val="0"/>
        <w:rPr>
          <w:rFonts w:ascii="Arial" w:hAnsi="Arial" w:cs="Arial"/>
          <w:sz w:val="14"/>
          <w:szCs w:val="14"/>
        </w:rPr>
      </w:pPr>
      <w:r w:rsidRPr="00DC5644">
        <w:rPr>
          <w:rFonts w:ascii="Arial" w:hAnsi="Arial" w:cs="Arial"/>
          <w:sz w:val="14"/>
          <w:szCs w:val="14"/>
        </w:rPr>
        <w:t xml:space="preserve">The MBS method has been validated in accord with the criteria defined by the standard ISO 16140:2003 “Microbiology of food and animal feeding stuffs – Protocol for the validation of alternative methods”, using as reference the method ISO 4833:2003 “Microbiology of food and animal feeding stuffs – Horizontal method for enumeration of microorganism – Colony count technique at 30 °C”. </w:t>
      </w:r>
    </w:p>
    <w:p w:rsidR="00E20FE0" w:rsidRPr="00DC5644" w:rsidRDefault="00E20FE0" w:rsidP="00E20FE0">
      <w:pPr>
        <w:snapToGrid w:val="0"/>
        <w:rPr>
          <w:rFonts w:ascii="Arial" w:hAnsi="Arial" w:cs="Arial"/>
          <w:sz w:val="14"/>
          <w:szCs w:val="14"/>
        </w:rPr>
      </w:pPr>
      <w:r w:rsidRPr="00DC5644">
        <w:rPr>
          <w:rFonts w:ascii="Arial" w:hAnsi="Arial" w:cs="Arial"/>
          <w:sz w:val="14"/>
          <w:szCs w:val="14"/>
        </w:rPr>
        <w:t xml:space="preserve">An accuracy analysis showed a very high correlation between the two methods, in addition the MBS method is extremely reproducible, with values of variance and standard deviation better than the reference. The linearity of the MBS method as compared to bacterial contamination is excellent, with </w:t>
      </w:r>
      <w:proofErr w:type="gramStart"/>
      <w:r w:rsidRPr="00DC5644">
        <w:rPr>
          <w:rFonts w:ascii="Arial" w:hAnsi="Arial" w:cs="Arial"/>
          <w:sz w:val="14"/>
          <w:szCs w:val="14"/>
        </w:rPr>
        <w:t>a sensitivity</w:t>
      </w:r>
      <w:proofErr w:type="gramEnd"/>
      <w:r w:rsidRPr="00DC5644">
        <w:rPr>
          <w:rFonts w:ascii="Arial" w:hAnsi="Arial" w:cs="Arial"/>
          <w:sz w:val="14"/>
          <w:szCs w:val="14"/>
        </w:rPr>
        <w:t xml:space="preserve"> to the </w:t>
      </w:r>
      <w:proofErr w:type="spellStart"/>
      <w:r w:rsidRPr="00DC5644">
        <w:rPr>
          <w:rFonts w:ascii="Arial" w:hAnsi="Arial" w:cs="Arial"/>
          <w:sz w:val="14"/>
          <w:szCs w:val="14"/>
        </w:rPr>
        <w:t>analyte</w:t>
      </w:r>
      <w:proofErr w:type="spellEnd"/>
      <w:r w:rsidRPr="00DC5644">
        <w:rPr>
          <w:rFonts w:ascii="Arial" w:hAnsi="Arial" w:cs="Arial"/>
          <w:sz w:val="14"/>
          <w:szCs w:val="14"/>
        </w:rPr>
        <w:t xml:space="preserve"> remaining consistent with values of CFU/ml &lt; 1 to contamination in the order of 106 CFU/ml. Even the inclusiveness of the method is very satisfactory, since it does not occur with either false negatives or false positives.</w:t>
      </w:r>
    </w:p>
    <w:p w:rsidR="00234E62" w:rsidRPr="00643118" w:rsidRDefault="00234E62" w:rsidP="00234E62">
      <w:pPr>
        <w:pStyle w:val="Default"/>
        <w:snapToGrid w:val="0"/>
        <w:rPr>
          <w:sz w:val="14"/>
          <w:szCs w:val="14"/>
        </w:rPr>
      </w:pPr>
    </w:p>
    <w:p w:rsidR="00234E62" w:rsidRPr="00643118" w:rsidRDefault="00542032" w:rsidP="00234E62">
      <w:pPr>
        <w:pStyle w:val="Default"/>
        <w:numPr>
          <w:ilvl w:val="0"/>
          <w:numId w:val="1"/>
        </w:numPr>
        <w:snapToGrid w:val="0"/>
        <w:rPr>
          <w:color w:val="002060"/>
          <w:sz w:val="20"/>
          <w:szCs w:val="20"/>
        </w:rPr>
      </w:pPr>
      <w:r>
        <w:rPr>
          <w:rFonts w:hint="eastAsia"/>
          <w:b/>
          <w:bCs/>
          <w:color w:val="002060"/>
          <w:sz w:val="20"/>
          <w:szCs w:val="20"/>
        </w:rPr>
        <w:t>Composition</w:t>
      </w:r>
    </w:p>
    <w:p w:rsidR="00234E62" w:rsidRPr="00643118" w:rsidRDefault="00234E62" w:rsidP="00234E62">
      <w:pPr>
        <w:pStyle w:val="Default"/>
        <w:snapToGrid w:val="0"/>
        <w:spacing w:after="11"/>
        <w:rPr>
          <w:b/>
          <w:bCs/>
          <w:sz w:val="14"/>
          <w:szCs w:val="1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694"/>
      </w:tblGrid>
      <w:tr w:rsidR="00234E62" w:rsidRPr="00643118" w:rsidTr="00542032">
        <w:tc>
          <w:tcPr>
            <w:tcW w:w="1668" w:type="dxa"/>
          </w:tcPr>
          <w:p w:rsidR="00234E62" w:rsidRPr="00542032" w:rsidRDefault="00234E62" w:rsidP="00542032">
            <w:pPr>
              <w:pStyle w:val="Default"/>
              <w:snapToGrid w:val="0"/>
              <w:spacing w:after="11"/>
              <w:rPr>
                <w:b/>
                <w:sz w:val="14"/>
                <w:szCs w:val="14"/>
              </w:rPr>
            </w:pPr>
            <w:r w:rsidRPr="00542032">
              <w:rPr>
                <w:rFonts w:eastAsia="新細明體"/>
                <w:b/>
                <w:bCs/>
                <w:sz w:val="14"/>
                <w:szCs w:val="14"/>
              </w:rPr>
              <w:t xml:space="preserve">˙   </w:t>
            </w:r>
            <w:r w:rsidR="00542032" w:rsidRPr="00542032">
              <w:rPr>
                <w:sz w:val="14"/>
                <w:szCs w:val="14"/>
              </w:rPr>
              <w:t>Nutrients:</w:t>
            </w:r>
          </w:p>
          <w:p w:rsidR="00234E62" w:rsidRPr="00542032" w:rsidRDefault="00542032" w:rsidP="00542032">
            <w:pPr>
              <w:pStyle w:val="Default"/>
              <w:snapToGrid w:val="0"/>
              <w:spacing w:after="11"/>
              <w:rPr>
                <w:rFonts w:eastAsia="新細明體"/>
                <w:b/>
                <w:bCs/>
                <w:sz w:val="14"/>
                <w:szCs w:val="14"/>
              </w:rPr>
            </w:pPr>
            <w:r w:rsidRPr="00542032">
              <w:rPr>
                <w:rFonts w:eastAsia="新細明體"/>
                <w:b/>
                <w:bCs/>
                <w:sz w:val="14"/>
                <w:szCs w:val="14"/>
              </w:rPr>
              <w:t xml:space="preserve">˙   </w:t>
            </w:r>
            <w:r w:rsidRPr="00542032">
              <w:rPr>
                <w:sz w:val="14"/>
                <w:szCs w:val="14"/>
              </w:rPr>
              <w:t>Selective agents:</w:t>
            </w:r>
          </w:p>
          <w:p w:rsidR="00542032" w:rsidRDefault="00542032" w:rsidP="00542032">
            <w:pPr>
              <w:pStyle w:val="Default"/>
              <w:snapToGrid w:val="0"/>
              <w:spacing w:after="11"/>
              <w:rPr>
                <w:sz w:val="14"/>
                <w:szCs w:val="14"/>
              </w:rPr>
            </w:pPr>
            <w:r w:rsidRPr="00542032">
              <w:rPr>
                <w:rFonts w:eastAsia="新細明體"/>
                <w:b/>
                <w:bCs/>
                <w:sz w:val="14"/>
                <w:szCs w:val="14"/>
              </w:rPr>
              <w:t xml:space="preserve">˙   </w:t>
            </w:r>
            <w:r w:rsidRPr="00542032">
              <w:rPr>
                <w:sz w:val="14"/>
                <w:szCs w:val="14"/>
              </w:rPr>
              <w:t>Reductants:</w:t>
            </w:r>
          </w:p>
          <w:p w:rsidR="00542032" w:rsidRPr="00542032" w:rsidRDefault="00542032" w:rsidP="00542032">
            <w:pPr>
              <w:pStyle w:val="Default"/>
              <w:snapToGrid w:val="0"/>
              <w:spacing w:after="11"/>
              <w:rPr>
                <w:rFonts w:eastAsia="新細明體"/>
                <w:b/>
                <w:bCs/>
                <w:sz w:val="14"/>
                <w:szCs w:val="14"/>
              </w:rPr>
            </w:pPr>
          </w:p>
          <w:p w:rsidR="00542032" w:rsidRPr="00542032" w:rsidRDefault="00542032" w:rsidP="00542032">
            <w:pPr>
              <w:pStyle w:val="Default"/>
              <w:snapToGrid w:val="0"/>
              <w:spacing w:after="11"/>
              <w:rPr>
                <w:rFonts w:eastAsia="新細明體"/>
                <w:b/>
                <w:bCs/>
                <w:sz w:val="14"/>
                <w:szCs w:val="14"/>
              </w:rPr>
            </w:pPr>
            <w:r w:rsidRPr="00542032">
              <w:rPr>
                <w:rFonts w:eastAsia="新細明體"/>
                <w:b/>
                <w:bCs/>
                <w:sz w:val="14"/>
                <w:szCs w:val="14"/>
              </w:rPr>
              <w:t xml:space="preserve">˙   </w:t>
            </w:r>
            <w:r w:rsidRPr="00542032">
              <w:rPr>
                <w:sz w:val="14"/>
                <w:szCs w:val="14"/>
              </w:rPr>
              <w:t>Redox dyes:</w:t>
            </w:r>
          </w:p>
          <w:p w:rsidR="00542032" w:rsidRPr="00542032" w:rsidRDefault="00542032" w:rsidP="00542032">
            <w:pPr>
              <w:pStyle w:val="Default"/>
              <w:snapToGrid w:val="0"/>
              <w:spacing w:after="11"/>
              <w:rPr>
                <w:sz w:val="14"/>
                <w:szCs w:val="14"/>
              </w:rPr>
            </w:pPr>
            <w:r w:rsidRPr="00542032">
              <w:rPr>
                <w:rFonts w:eastAsia="新細明體"/>
                <w:b/>
                <w:bCs/>
                <w:sz w:val="14"/>
                <w:szCs w:val="14"/>
              </w:rPr>
              <w:t xml:space="preserve">˙   </w:t>
            </w:r>
            <w:r w:rsidRPr="00542032">
              <w:rPr>
                <w:sz w:val="14"/>
                <w:szCs w:val="14"/>
              </w:rPr>
              <w:t>Oil:</w:t>
            </w:r>
          </w:p>
          <w:p w:rsidR="00234E62" w:rsidRPr="00542032" w:rsidRDefault="00542032" w:rsidP="00542032">
            <w:pPr>
              <w:pStyle w:val="Default"/>
              <w:snapToGrid w:val="0"/>
              <w:spacing w:after="11"/>
              <w:rPr>
                <w:b/>
                <w:sz w:val="14"/>
                <w:szCs w:val="14"/>
              </w:rPr>
            </w:pPr>
            <w:r w:rsidRPr="00542032">
              <w:rPr>
                <w:rFonts w:eastAsia="新細明體"/>
                <w:b/>
                <w:bCs/>
                <w:sz w:val="14"/>
                <w:szCs w:val="14"/>
              </w:rPr>
              <w:t xml:space="preserve">˙   </w:t>
            </w:r>
            <w:proofErr w:type="spellStart"/>
            <w:r w:rsidRPr="00542032">
              <w:rPr>
                <w:sz w:val="14"/>
                <w:szCs w:val="14"/>
              </w:rPr>
              <w:t>Sterilant</w:t>
            </w:r>
            <w:proofErr w:type="spellEnd"/>
            <w:r w:rsidRPr="00542032">
              <w:rPr>
                <w:sz w:val="14"/>
                <w:szCs w:val="14"/>
              </w:rPr>
              <w:t>:</w:t>
            </w:r>
          </w:p>
        </w:tc>
        <w:tc>
          <w:tcPr>
            <w:tcW w:w="6694" w:type="dxa"/>
          </w:tcPr>
          <w:p w:rsidR="00542032" w:rsidRPr="00C3332D" w:rsidRDefault="00542032" w:rsidP="00542032">
            <w:pPr>
              <w:pStyle w:val="Default"/>
              <w:snapToGrid w:val="0"/>
              <w:spacing w:after="15"/>
              <w:rPr>
                <w:sz w:val="14"/>
                <w:szCs w:val="14"/>
              </w:rPr>
            </w:pPr>
            <w:r w:rsidRPr="00C3332D">
              <w:rPr>
                <w:rFonts w:hint="eastAsia"/>
                <w:sz w:val="14"/>
                <w:szCs w:val="14"/>
              </w:rPr>
              <w:t>M</w:t>
            </w:r>
            <w:r w:rsidRPr="00C3332D">
              <w:rPr>
                <w:sz w:val="14"/>
                <w:szCs w:val="14"/>
              </w:rPr>
              <w:t xml:space="preserve">ainly proteins, </w:t>
            </w:r>
            <w:proofErr w:type="spellStart"/>
            <w:r w:rsidRPr="00C3332D">
              <w:rPr>
                <w:sz w:val="14"/>
                <w:szCs w:val="14"/>
              </w:rPr>
              <w:t>glucides</w:t>
            </w:r>
            <w:proofErr w:type="spellEnd"/>
            <w:r w:rsidRPr="00C3332D">
              <w:rPr>
                <w:sz w:val="14"/>
                <w:szCs w:val="14"/>
              </w:rPr>
              <w:t xml:space="preserve"> and lipids, to </w:t>
            </w:r>
            <w:proofErr w:type="spellStart"/>
            <w:r w:rsidRPr="00C3332D">
              <w:rPr>
                <w:sz w:val="14"/>
                <w:szCs w:val="14"/>
              </w:rPr>
              <w:t>substain</w:t>
            </w:r>
            <w:proofErr w:type="spellEnd"/>
            <w:r w:rsidRPr="00C3332D">
              <w:rPr>
                <w:sz w:val="14"/>
                <w:szCs w:val="14"/>
              </w:rPr>
              <w:t xml:space="preserve"> the growth of bacteria. </w:t>
            </w:r>
          </w:p>
          <w:p w:rsidR="00542032" w:rsidRPr="00C3332D" w:rsidRDefault="00542032" w:rsidP="00542032">
            <w:pPr>
              <w:pStyle w:val="Default"/>
              <w:snapToGrid w:val="0"/>
              <w:spacing w:after="15"/>
              <w:rPr>
                <w:sz w:val="14"/>
                <w:szCs w:val="14"/>
              </w:rPr>
            </w:pPr>
            <w:r w:rsidRPr="00C3332D">
              <w:rPr>
                <w:rFonts w:hint="eastAsia"/>
                <w:sz w:val="14"/>
                <w:szCs w:val="14"/>
              </w:rPr>
              <w:t>T</w:t>
            </w:r>
            <w:r w:rsidRPr="00C3332D">
              <w:rPr>
                <w:sz w:val="14"/>
                <w:szCs w:val="14"/>
              </w:rPr>
              <w:t xml:space="preserve">o inhibit the growth of all the bacteria with the exclusion of those that should be detected. </w:t>
            </w:r>
          </w:p>
          <w:p w:rsidR="00542032" w:rsidRPr="00C3332D" w:rsidRDefault="00542032" w:rsidP="00542032">
            <w:pPr>
              <w:pStyle w:val="Default"/>
              <w:snapToGrid w:val="0"/>
              <w:spacing w:after="15"/>
              <w:rPr>
                <w:sz w:val="14"/>
                <w:szCs w:val="14"/>
              </w:rPr>
            </w:pPr>
            <w:r w:rsidRPr="00C3332D">
              <w:rPr>
                <w:rFonts w:hint="eastAsia"/>
                <w:sz w:val="14"/>
                <w:szCs w:val="14"/>
              </w:rPr>
              <w:t>O</w:t>
            </w:r>
            <w:r w:rsidRPr="00C3332D">
              <w:rPr>
                <w:sz w:val="14"/>
                <w:szCs w:val="14"/>
              </w:rPr>
              <w:t xml:space="preserve">rganic compounds able to transfer electrons to the bacterial respiratory chain without being oxidized by molecular oxygen. </w:t>
            </w:r>
          </w:p>
          <w:p w:rsidR="00542032" w:rsidRPr="00C3332D" w:rsidRDefault="00542032" w:rsidP="00542032">
            <w:pPr>
              <w:pStyle w:val="Default"/>
              <w:snapToGrid w:val="0"/>
              <w:spacing w:after="15"/>
              <w:rPr>
                <w:sz w:val="14"/>
                <w:szCs w:val="14"/>
              </w:rPr>
            </w:pPr>
            <w:r w:rsidRPr="00C3332D">
              <w:rPr>
                <w:rFonts w:hint="eastAsia"/>
                <w:sz w:val="14"/>
                <w:szCs w:val="14"/>
              </w:rPr>
              <w:t>O</w:t>
            </w:r>
            <w:r w:rsidRPr="00C3332D">
              <w:rPr>
                <w:sz w:val="14"/>
                <w:szCs w:val="14"/>
              </w:rPr>
              <w:t xml:space="preserve">rganic compounds that change their </w:t>
            </w:r>
            <w:proofErr w:type="spellStart"/>
            <w:r w:rsidRPr="00C3332D">
              <w:rPr>
                <w:sz w:val="14"/>
                <w:szCs w:val="14"/>
              </w:rPr>
              <w:t>colour</w:t>
            </w:r>
            <w:proofErr w:type="spellEnd"/>
            <w:r w:rsidRPr="00C3332D">
              <w:rPr>
                <w:sz w:val="14"/>
                <w:szCs w:val="14"/>
              </w:rPr>
              <w:t xml:space="preserve"> as a function of the redox state of the medium </w:t>
            </w:r>
          </w:p>
          <w:p w:rsidR="00542032" w:rsidRPr="00C3332D" w:rsidRDefault="00542032" w:rsidP="00542032">
            <w:pPr>
              <w:pStyle w:val="Default"/>
              <w:snapToGrid w:val="0"/>
              <w:spacing w:after="15"/>
              <w:rPr>
                <w:sz w:val="14"/>
                <w:szCs w:val="14"/>
              </w:rPr>
            </w:pPr>
            <w:r w:rsidRPr="00C3332D">
              <w:rPr>
                <w:rFonts w:hint="eastAsia"/>
                <w:sz w:val="14"/>
                <w:szCs w:val="14"/>
              </w:rPr>
              <w:t>I</w:t>
            </w:r>
            <w:r w:rsidRPr="00C3332D">
              <w:rPr>
                <w:sz w:val="14"/>
                <w:szCs w:val="14"/>
              </w:rPr>
              <w:t xml:space="preserve">nert liquid petroleum jelly to avoid oxygen transfer inside the vial from gaseous phase to liquid phase. </w:t>
            </w:r>
          </w:p>
          <w:p w:rsidR="00542032" w:rsidRPr="00C3332D" w:rsidRDefault="00542032" w:rsidP="00542032">
            <w:pPr>
              <w:pStyle w:val="Default"/>
              <w:snapToGrid w:val="0"/>
              <w:rPr>
                <w:sz w:val="14"/>
                <w:szCs w:val="14"/>
              </w:rPr>
            </w:pPr>
            <w:r w:rsidRPr="00C3332D">
              <w:rPr>
                <w:rFonts w:hint="eastAsia"/>
                <w:sz w:val="14"/>
                <w:szCs w:val="14"/>
              </w:rPr>
              <w:t>C</w:t>
            </w:r>
            <w:r w:rsidRPr="00C3332D">
              <w:rPr>
                <w:sz w:val="14"/>
                <w:szCs w:val="14"/>
              </w:rPr>
              <w:t xml:space="preserve">hemical compound used for sterilizing the vials after analysis. </w:t>
            </w:r>
          </w:p>
          <w:p w:rsidR="00234E62" w:rsidRPr="00542032" w:rsidRDefault="00234E62" w:rsidP="00D54C81">
            <w:pPr>
              <w:pStyle w:val="Default"/>
              <w:snapToGrid w:val="0"/>
              <w:rPr>
                <w:sz w:val="14"/>
                <w:szCs w:val="14"/>
              </w:rPr>
            </w:pPr>
          </w:p>
        </w:tc>
      </w:tr>
    </w:tbl>
    <w:p w:rsidR="00234E62" w:rsidRPr="00643118" w:rsidRDefault="00234E62" w:rsidP="00234E62">
      <w:pPr>
        <w:pStyle w:val="Default"/>
        <w:snapToGrid w:val="0"/>
        <w:rPr>
          <w:color w:val="002060"/>
          <w:sz w:val="14"/>
          <w:szCs w:val="14"/>
        </w:rPr>
      </w:pPr>
    </w:p>
    <w:p w:rsidR="00234E62" w:rsidRPr="00643118" w:rsidRDefault="007B4D50" w:rsidP="00234E62">
      <w:pPr>
        <w:pStyle w:val="Default"/>
        <w:numPr>
          <w:ilvl w:val="0"/>
          <w:numId w:val="1"/>
        </w:numPr>
        <w:snapToGrid w:val="0"/>
        <w:rPr>
          <w:color w:val="002060"/>
          <w:sz w:val="20"/>
          <w:szCs w:val="20"/>
        </w:rPr>
      </w:pPr>
      <w:r>
        <w:rPr>
          <w:rFonts w:hint="eastAsia"/>
          <w:b/>
          <w:bCs/>
          <w:color w:val="002060"/>
          <w:sz w:val="20"/>
          <w:szCs w:val="20"/>
        </w:rPr>
        <w:t>Quality control</w:t>
      </w:r>
      <w:r w:rsidR="00234E62" w:rsidRPr="00643118">
        <w:rPr>
          <w:b/>
          <w:bCs/>
          <w:color w:val="002060"/>
          <w:sz w:val="20"/>
          <w:szCs w:val="20"/>
        </w:rPr>
        <w:t xml:space="preserve"> </w:t>
      </w:r>
    </w:p>
    <w:p w:rsidR="00234E62" w:rsidRDefault="00234E62" w:rsidP="00234E62">
      <w:pPr>
        <w:pStyle w:val="Default"/>
        <w:snapToGrid w:val="0"/>
        <w:spacing w:after="11"/>
        <w:rPr>
          <w:b/>
          <w:bCs/>
          <w:sz w:val="14"/>
          <w:szCs w:val="14"/>
        </w:rPr>
      </w:pPr>
    </w:p>
    <w:tbl>
      <w:tblPr>
        <w:tblStyle w:val="a9"/>
        <w:tblW w:w="0" w:type="auto"/>
        <w:tblInd w:w="240" w:type="dxa"/>
        <w:tblLook w:val="04A0" w:firstRow="1" w:lastRow="0" w:firstColumn="1" w:lastColumn="0" w:noHBand="0" w:noVBand="1"/>
      </w:tblPr>
      <w:tblGrid>
        <w:gridCol w:w="2802"/>
        <w:gridCol w:w="1002"/>
        <w:gridCol w:w="2683"/>
        <w:gridCol w:w="1134"/>
      </w:tblGrid>
      <w:tr w:rsidR="00DF79AA" w:rsidRPr="00DF79AA" w:rsidTr="00562103">
        <w:trPr>
          <w:trHeight w:val="111"/>
        </w:trPr>
        <w:tc>
          <w:tcPr>
            <w:tcW w:w="3804" w:type="dxa"/>
            <w:gridSpan w:val="2"/>
          </w:tcPr>
          <w:p w:rsidR="00DF79AA" w:rsidRPr="00DF79AA" w:rsidRDefault="00DF79AA" w:rsidP="00DF79AA">
            <w:pPr>
              <w:pStyle w:val="Default"/>
              <w:snapToGrid w:val="0"/>
              <w:rPr>
                <w:sz w:val="14"/>
                <w:szCs w:val="14"/>
              </w:rPr>
            </w:pPr>
            <w:r w:rsidRPr="00DF79AA">
              <w:rPr>
                <w:b/>
                <w:bCs/>
                <w:sz w:val="14"/>
                <w:szCs w:val="14"/>
              </w:rPr>
              <w:t xml:space="preserve">POSITIVE CONTROLS </w:t>
            </w:r>
          </w:p>
        </w:tc>
        <w:tc>
          <w:tcPr>
            <w:tcW w:w="3817" w:type="dxa"/>
            <w:gridSpan w:val="2"/>
          </w:tcPr>
          <w:p w:rsidR="00DF79AA" w:rsidRPr="00DF79AA" w:rsidRDefault="00DF79AA" w:rsidP="00DF79AA">
            <w:pPr>
              <w:pStyle w:val="Default"/>
              <w:snapToGrid w:val="0"/>
              <w:rPr>
                <w:sz w:val="14"/>
                <w:szCs w:val="14"/>
              </w:rPr>
            </w:pPr>
            <w:r w:rsidRPr="00DF79AA">
              <w:rPr>
                <w:b/>
                <w:bCs/>
                <w:sz w:val="14"/>
                <w:szCs w:val="14"/>
              </w:rPr>
              <w:t xml:space="preserve">NEGATIVE CONTROLS </w:t>
            </w:r>
          </w:p>
        </w:tc>
      </w:tr>
      <w:tr w:rsidR="00DF79AA" w:rsidRPr="00DF79AA" w:rsidTr="00562103">
        <w:tc>
          <w:tcPr>
            <w:tcW w:w="2802" w:type="dxa"/>
          </w:tcPr>
          <w:p w:rsidR="00DF79AA" w:rsidRPr="00DF79AA" w:rsidRDefault="00DF79AA" w:rsidP="00DF79AA">
            <w:pPr>
              <w:pStyle w:val="Default"/>
              <w:snapToGrid w:val="0"/>
              <w:rPr>
                <w:sz w:val="14"/>
                <w:szCs w:val="14"/>
              </w:rPr>
            </w:pPr>
            <w:r w:rsidRPr="00DF79AA">
              <w:rPr>
                <w:b/>
                <w:bCs/>
                <w:sz w:val="14"/>
                <w:szCs w:val="14"/>
              </w:rPr>
              <w:t xml:space="preserve">Reference strain </w:t>
            </w:r>
          </w:p>
        </w:tc>
        <w:tc>
          <w:tcPr>
            <w:tcW w:w="1002" w:type="dxa"/>
          </w:tcPr>
          <w:p w:rsidR="00DF79AA" w:rsidRPr="00DF79AA" w:rsidRDefault="00DF79AA" w:rsidP="00DF79AA">
            <w:pPr>
              <w:pStyle w:val="Default"/>
              <w:snapToGrid w:val="0"/>
              <w:rPr>
                <w:sz w:val="14"/>
                <w:szCs w:val="14"/>
              </w:rPr>
            </w:pPr>
            <w:r w:rsidRPr="00DF79AA">
              <w:rPr>
                <w:b/>
                <w:bCs/>
                <w:sz w:val="14"/>
                <w:szCs w:val="14"/>
              </w:rPr>
              <w:t xml:space="preserve">Limit of Sensibility </w:t>
            </w:r>
          </w:p>
        </w:tc>
        <w:tc>
          <w:tcPr>
            <w:tcW w:w="2683" w:type="dxa"/>
          </w:tcPr>
          <w:p w:rsidR="00DF79AA" w:rsidRPr="00DF79AA" w:rsidRDefault="00DF79AA" w:rsidP="00DF79AA">
            <w:pPr>
              <w:pStyle w:val="Default"/>
              <w:snapToGrid w:val="0"/>
              <w:rPr>
                <w:sz w:val="14"/>
                <w:szCs w:val="14"/>
              </w:rPr>
            </w:pPr>
            <w:r w:rsidRPr="00DF79AA">
              <w:rPr>
                <w:b/>
                <w:bCs/>
                <w:sz w:val="14"/>
                <w:szCs w:val="14"/>
              </w:rPr>
              <w:t xml:space="preserve">Reference strain </w:t>
            </w:r>
          </w:p>
        </w:tc>
        <w:tc>
          <w:tcPr>
            <w:tcW w:w="1134" w:type="dxa"/>
          </w:tcPr>
          <w:p w:rsidR="00DF79AA" w:rsidRPr="00DF79AA" w:rsidRDefault="00DF79AA" w:rsidP="00DF79AA">
            <w:pPr>
              <w:pStyle w:val="Default"/>
              <w:snapToGrid w:val="0"/>
              <w:rPr>
                <w:sz w:val="14"/>
                <w:szCs w:val="14"/>
              </w:rPr>
            </w:pPr>
            <w:r w:rsidRPr="00DF79AA">
              <w:rPr>
                <w:b/>
                <w:bCs/>
                <w:sz w:val="14"/>
                <w:szCs w:val="14"/>
              </w:rPr>
              <w:t xml:space="preserve">Limit of </w:t>
            </w:r>
          </w:p>
          <w:p w:rsidR="00DF79AA" w:rsidRPr="00DF79AA" w:rsidRDefault="00DF79AA" w:rsidP="00DF79AA">
            <w:pPr>
              <w:pStyle w:val="Default"/>
              <w:snapToGrid w:val="0"/>
              <w:spacing w:after="11"/>
              <w:rPr>
                <w:b/>
                <w:bCs/>
                <w:sz w:val="14"/>
                <w:szCs w:val="14"/>
              </w:rPr>
            </w:pPr>
            <w:r w:rsidRPr="00DF79AA">
              <w:rPr>
                <w:b/>
                <w:bCs/>
                <w:sz w:val="14"/>
                <w:szCs w:val="14"/>
              </w:rPr>
              <w:t xml:space="preserve">Sensibility </w:t>
            </w:r>
          </w:p>
        </w:tc>
      </w:tr>
      <w:tr w:rsidR="00615761" w:rsidRPr="00DF79AA" w:rsidTr="00562103">
        <w:tc>
          <w:tcPr>
            <w:tcW w:w="2802" w:type="dxa"/>
          </w:tcPr>
          <w:p w:rsidR="00615761" w:rsidRPr="00615761" w:rsidRDefault="00615761" w:rsidP="00615761">
            <w:pPr>
              <w:pStyle w:val="Default"/>
              <w:snapToGrid w:val="0"/>
              <w:rPr>
                <w:sz w:val="14"/>
                <w:szCs w:val="14"/>
              </w:rPr>
            </w:pPr>
            <w:r w:rsidRPr="00615761">
              <w:rPr>
                <w:i/>
                <w:iCs/>
                <w:sz w:val="14"/>
                <w:szCs w:val="14"/>
              </w:rPr>
              <w:t xml:space="preserve">E. coli </w:t>
            </w:r>
            <w:r w:rsidRPr="00615761">
              <w:rPr>
                <w:sz w:val="14"/>
                <w:szCs w:val="14"/>
              </w:rPr>
              <w:t xml:space="preserve">ATCC 25922 </w:t>
            </w:r>
          </w:p>
        </w:tc>
        <w:tc>
          <w:tcPr>
            <w:tcW w:w="1002" w:type="dxa"/>
          </w:tcPr>
          <w:p w:rsidR="00615761" w:rsidRPr="00615761" w:rsidRDefault="00615761" w:rsidP="00615761">
            <w:pPr>
              <w:pStyle w:val="Default"/>
              <w:snapToGrid w:val="0"/>
              <w:rPr>
                <w:sz w:val="14"/>
                <w:szCs w:val="14"/>
              </w:rPr>
            </w:pPr>
            <w:r w:rsidRPr="00615761">
              <w:rPr>
                <w:b/>
                <w:bCs/>
                <w:sz w:val="14"/>
                <w:szCs w:val="14"/>
              </w:rPr>
              <w:t xml:space="preserve">1 CFU/g </w:t>
            </w:r>
          </w:p>
        </w:tc>
        <w:tc>
          <w:tcPr>
            <w:tcW w:w="2683" w:type="dxa"/>
          </w:tcPr>
          <w:p w:rsidR="00615761" w:rsidRPr="00615761" w:rsidRDefault="00615761" w:rsidP="00615761">
            <w:pPr>
              <w:pStyle w:val="Default"/>
              <w:snapToGrid w:val="0"/>
              <w:rPr>
                <w:sz w:val="14"/>
                <w:szCs w:val="14"/>
              </w:rPr>
            </w:pPr>
            <w:r w:rsidRPr="00615761">
              <w:rPr>
                <w:i/>
                <w:iCs/>
                <w:sz w:val="14"/>
                <w:szCs w:val="14"/>
              </w:rPr>
              <w:t xml:space="preserve">Clostridium perfringens </w:t>
            </w:r>
            <w:r w:rsidRPr="00615761">
              <w:rPr>
                <w:sz w:val="14"/>
                <w:szCs w:val="14"/>
              </w:rPr>
              <w:t xml:space="preserve">ATCC 13124 </w:t>
            </w:r>
          </w:p>
        </w:tc>
        <w:tc>
          <w:tcPr>
            <w:tcW w:w="1134" w:type="dxa"/>
          </w:tcPr>
          <w:p w:rsidR="00615761" w:rsidRPr="00615761" w:rsidRDefault="00615761" w:rsidP="00615761">
            <w:pPr>
              <w:pStyle w:val="Default"/>
              <w:snapToGrid w:val="0"/>
              <w:rPr>
                <w:sz w:val="14"/>
                <w:szCs w:val="14"/>
              </w:rPr>
            </w:pPr>
            <w:r w:rsidRPr="00615761">
              <w:rPr>
                <w:b/>
                <w:bCs/>
                <w:sz w:val="14"/>
                <w:szCs w:val="14"/>
              </w:rPr>
              <w:t>&gt; 10</w:t>
            </w:r>
            <w:bookmarkStart w:id="0" w:name="_GoBack"/>
            <w:r w:rsidRPr="003B0151">
              <w:rPr>
                <w:b/>
                <w:bCs/>
                <w:sz w:val="14"/>
                <w:szCs w:val="14"/>
                <w:vertAlign w:val="superscript"/>
              </w:rPr>
              <w:t>6</w:t>
            </w:r>
            <w:bookmarkEnd w:id="0"/>
            <w:r w:rsidRPr="00615761">
              <w:rPr>
                <w:b/>
                <w:bCs/>
                <w:sz w:val="14"/>
                <w:szCs w:val="14"/>
              </w:rPr>
              <w:t xml:space="preserve"> CFU/g </w:t>
            </w:r>
          </w:p>
        </w:tc>
      </w:tr>
      <w:tr w:rsidR="009014AB" w:rsidRPr="00DF79AA" w:rsidTr="00562103">
        <w:tc>
          <w:tcPr>
            <w:tcW w:w="2802" w:type="dxa"/>
          </w:tcPr>
          <w:p w:rsidR="009014AB" w:rsidRPr="009014AB" w:rsidRDefault="009014AB" w:rsidP="009014AB">
            <w:pPr>
              <w:pStyle w:val="Default"/>
              <w:snapToGrid w:val="0"/>
              <w:rPr>
                <w:sz w:val="14"/>
                <w:szCs w:val="14"/>
              </w:rPr>
            </w:pPr>
            <w:r w:rsidRPr="009014AB">
              <w:rPr>
                <w:i/>
                <w:iCs/>
                <w:sz w:val="14"/>
                <w:szCs w:val="14"/>
              </w:rPr>
              <w:t xml:space="preserve">Enterobacter cloacae </w:t>
            </w:r>
            <w:r w:rsidRPr="009014AB">
              <w:rPr>
                <w:sz w:val="14"/>
                <w:szCs w:val="14"/>
              </w:rPr>
              <w:t xml:space="preserve">ATCC 13047 </w:t>
            </w:r>
          </w:p>
        </w:tc>
        <w:tc>
          <w:tcPr>
            <w:tcW w:w="1002" w:type="dxa"/>
          </w:tcPr>
          <w:p w:rsidR="009014AB" w:rsidRPr="009014AB" w:rsidRDefault="009014AB" w:rsidP="009014AB">
            <w:pPr>
              <w:pStyle w:val="Default"/>
              <w:snapToGrid w:val="0"/>
              <w:rPr>
                <w:sz w:val="14"/>
                <w:szCs w:val="14"/>
              </w:rPr>
            </w:pPr>
            <w:r w:rsidRPr="009014AB">
              <w:rPr>
                <w:b/>
                <w:bCs/>
                <w:sz w:val="14"/>
                <w:szCs w:val="14"/>
              </w:rPr>
              <w:t xml:space="preserve">1 CFU/g </w:t>
            </w:r>
          </w:p>
        </w:tc>
        <w:tc>
          <w:tcPr>
            <w:tcW w:w="2683" w:type="dxa"/>
          </w:tcPr>
          <w:p w:rsidR="009014AB" w:rsidRPr="00DF79AA" w:rsidRDefault="009014AB" w:rsidP="00DF79AA">
            <w:pPr>
              <w:pStyle w:val="Default"/>
              <w:snapToGrid w:val="0"/>
              <w:spacing w:after="11"/>
              <w:rPr>
                <w:b/>
                <w:bCs/>
                <w:sz w:val="14"/>
                <w:szCs w:val="14"/>
              </w:rPr>
            </w:pPr>
          </w:p>
        </w:tc>
        <w:tc>
          <w:tcPr>
            <w:tcW w:w="1134" w:type="dxa"/>
          </w:tcPr>
          <w:p w:rsidR="009014AB" w:rsidRPr="00DF79AA" w:rsidRDefault="009014AB" w:rsidP="00DF79AA">
            <w:pPr>
              <w:pStyle w:val="Default"/>
              <w:snapToGrid w:val="0"/>
              <w:spacing w:after="11"/>
              <w:rPr>
                <w:b/>
                <w:bCs/>
                <w:sz w:val="14"/>
                <w:szCs w:val="14"/>
              </w:rPr>
            </w:pPr>
          </w:p>
        </w:tc>
      </w:tr>
      <w:tr w:rsidR="009014AB" w:rsidRPr="00DF79AA" w:rsidTr="00562103">
        <w:tc>
          <w:tcPr>
            <w:tcW w:w="2802" w:type="dxa"/>
          </w:tcPr>
          <w:p w:rsidR="009014AB" w:rsidRPr="009014AB" w:rsidRDefault="009014AB" w:rsidP="009014AB">
            <w:pPr>
              <w:pStyle w:val="Default"/>
              <w:snapToGrid w:val="0"/>
              <w:rPr>
                <w:sz w:val="14"/>
                <w:szCs w:val="14"/>
              </w:rPr>
            </w:pPr>
            <w:r w:rsidRPr="009014AB">
              <w:rPr>
                <w:i/>
                <w:iCs/>
                <w:sz w:val="14"/>
                <w:szCs w:val="14"/>
              </w:rPr>
              <w:t xml:space="preserve">Enterobacter </w:t>
            </w:r>
            <w:proofErr w:type="spellStart"/>
            <w:r w:rsidRPr="009014AB">
              <w:rPr>
                <w:i/>
                <w:iCs/>
                <w:sz w:val="14"/>
                <w:szCs w:val="14"/>
              </w:rPr>
              <w:t>sakazakii</w:t>
            </w:r>
            <w:proofErr w:type="spellEnd"/>
            <w:r w:rsidRPr="009014AB">
              <w:rPr>
                <w:i/>
                <w:iCs/>
                <w:sz w:val="14"/>
                <w:szCs w:val="14"/>
              </w:rPr>
              <w:t xml:space="preserve"> </w:t>
            </w:r>
            <w:r w:rsidRPr="009014AB">
              <w:rPr>
                <w:sz w:val="14"/>
                <w:szCs w:val="14"/>
              </w:rPr>
              <w:t xml:space="preserve">ATCC 51329 </w:t>
            </w:r>
          </w:p>
        </w:tc>
        <w:tc>
          <w:tcPr>
            <w:tcW w:w="1002" w:type="dxa"/>
          </w:tcPr>
          <w:p w:rsidR="009014AB" w:rsidRPr="009014AB" w:rsidRDefault="009014AB" w:rsidP="009014AB">
            <w:pPr>
              <w:pStyle w:val="Default"/>
              <w:snapToGrid w:val="0"/>
              <w:rPr>
                <w:sz w:val="14"/>
                <w:szCs w:val="14"/>
              </w:rPr>
            </w:pPr>
            <w:r w:rsidRPr="009014AB">
              <w:rPr>
                <w:b/>
                <w:bCs/>
                <w:sz w:val="14"/>
                <w:szCs w:val="14"/>
              </w:rPr>
              <w:t xml:space="preserve">1 CFU/g </w:t>
            </w:r>
          </w:p>
        </w:tc>
        <w:tc>
          <w:tcPr>
            <w:tcW w:w="2683" w:type="dxa"/>
          </w:tcPr>
          <w:p w:rsidR="009014AB" w:rsidRPr="00DF79AA" w:rsidRDefault="009014AB" w:rsidP="00DF79AA">
            <w:pPr>
              <w:pStyle w:val="Default"/>
              <w:snapToGrid w:val="0"/>
              <w:spacing w:after="11"/>
              <w:rPr>
                <w:b/>
                <w:bCs/>
                <w:sz w:val="14"/>
                <w:szCs w:val="14"/>
              </w:rPr>
            </w:pPr>
          </w:p>
        </w:tc>
        <w:tc>
          <w:tcPr>
            <w:tcW w:w="1134" w:type="dxa"/>
          </w:tcPr>
          <w:p w:rsidR="009014AB" w:rsidRPr="00DF79AA" w:rsidRDefault="009014AB" w:rsidP="00DF79AA">
            <w:pPr>
              <w:pStyle w:val="Default"/>
              <w:snapToGrid w:val="0"/>
              <w:spacing w:after="11"/>
              <w:rPr>
                <w:b/>
                <w:bCs/>
                <w:sz w:val="14"/>
                <w:szCs w:val="14"/>
              </w:rPr>
            </w:pPr>
          </w:p>
        </w:tc>
      </w:tr>
      <w:tr w:rsidR="009014AB" w:rsidRPr="00DF79AA" w:rsidTr="00562103">
        <w:tc>
          <w:tcPr>
            <w:tcW w:w="2802" w:type="dxa"/>
          </w:tcPr>
          <w:p w:rsidR="009014AB" w:rsidRPr="009014AB" w:rsidRDefault="009014AB" w:rsidP="009014AB">
            <w:pPr>
              <w:pStyle w:val="Default"/>
              <w:snapToGrid w:val="0"/>
              <w:rPr>
                <w:sz w:val="14"/>
                <w:szCs w:val="14"/>
              </w:rPr>
            </w:pPr>
            <w:r w:rsidRPr="009014AB">
              <w:rPr>
                <w:i/>
                <w:iCs/>
                <w:sz w:val="14"/>
                <w:szCs w:val="14"/>
              </w:rPr>
              <w:t xml:space="preserve">Salmonella </w:t>
            </w:r>
            <w:proofErr w:type="spellStart"/>
            <w:r w:rsidRPr="009014AB">
              <w:rPr>
                <w:i/>
                <w:iCs/>
                <w:sz w:val="14"/>
                <w:szCs w:val="14"/>
              </w:rPr>
              <w:t>thyphimurium</w:t>
            </w:r>
            <w:proofErr w:type="spellEnd"/>
            <w:r w:rsidRPr="009014AB">
              <w:rPr>
                <w:i/>
                <w:iCs/>
                <w:sz w:val="14"/>
                <w:szCs w:val="14"/>
              </w:rPr>
              <w:t xml:space="preserve"> </w:t>
            </w:r>
            <w:r w:rsidRPr="009014AB">
              <w:rPr>
                <w:sz w:val="14"/>
                <w:szCs w:val="14"/>
              </w:rPr>
              <w:t xml:space="preserve">ATCC 14028 </w:t>
            </w:r>
          </w:p>
        </w:tc>
        <w:tc>
          <w:tcPr>
            <w:tcW w:w="1002" w:type="dxa"/>
          </w:tcPr>
          <w:p w:rsidR="009014AB" w:rsidRPr="009014AB" w:rsidRDefault="009014AB" w:rsidP="009014AB">
            <w:pPr>
              <w:pStyle w:val="Default"/>
              <w:snapToGrid w:val="0"/>
              <w:rPr>
                <w:sz w:val="14"/>
                <w:szCs w:val="14"/>
              </w:rPr>
            </w:pPr>
            <w:r w:rsidRPr="009014AB">
              <w:rPr>
                <w:b/>
                <w:bCs/>
                <w:sz w:val="14"/>
                <w:szCs w:val="14"/>
              </w:rPr>
              <w:t xml:space="preserve">1 CFU/g </w:t>
            </w:r>
          </w:p>
        </w:tc>
        <w:tc>
          <w:tcPr>
            <w:tcW w:w="2683" w:type="dxa"/>
          </w:tcPr>
          <w:p w:rsidR="009014AB" w:rsidRPr="00DF79AA" w:rsidRDefault="009014AB" w:rsidP="00DF79AA">
            <w:pPr>
              <w:pStyle w:val="Default"/>
              <w:snapToGrid w:val="0"/>
              <w:spacing w:after="11"/>
              <w:rPr>
                <w:b/>
                <w:bCs/>
                <w:sz w:val="14"/>
                <w:szCs w:val="14"/>
              </w:rPr>
            </w:pPr>
          </w:p>
        </w:tc>
        <w:tc>
          <w:tcPr>
            <w:tcW w:w="1134" w:type="dxa"/>
          </w:tcPr>
          <w:p w:rsidR="009014AB" w:rsidRPr="00DF79AA" w:rsidRDefault="009014AB" w:rsidP="00DF79AA">
            <w:pPr>
              <w:pStyle w:val="Default"/>
              <w:snapToGrid w:val="0"/>
              <w:spacing w:after="11"/>
              <w:rPr>
                <w:b/>
                <w:bCs/>
                <w:sz w:val="14"/>
                <w:szCs w:val="14"/>
              </w:rPr>
            </w:pPr>
          </w:p>
        </w:tc>
      </w:tr>
      <w:tr w:rsidR="009014AB" w:rsidRPr="00DF79AA" w:rsidTr="00562103">
        <w:tc>
          <w:tcPr>
            <w:tcW w:w="2802" w:type="dxa"/>
          </w:tcPr>
          <w:p w:rsidR="009014AB" w:rsidRPr="009014AB" w:rsidRDefault="009014AB" w:rsidP="009014AB">
            <w:pPr>
              <w:pStyle w:val="Default"/>
              <w:snapToGrid w:val="0"/>
              <w:rPr>
                <w:sz w:val="14"/>
                <w:szCs w:val="14"/>
              </w:rPr>
            </w:pPr>
            <w:r w:rsidRPr="009014AB">
              <w:rPr>
                <w:i/>
                <w:iCs/>
                <w:sz w:val="14"/>
                <w:szCs w:val="14"/>
              </w:rPr>
              <w:t xml:space="preserve">Pseudomonas aeruginosa </w:t>
            </w:r>
            <w:r w:rsidRPr="009014AB">
              <w:rPr>
                <w:sz w:val="14"/>
                <w:szCs w:val="14"/>
              </w:rPr>
              <w:t xml:space="preserve">ATCC 27853 </w:t>
            </w:r>
          </w:p>
        </w:tc>
        <w:tc>
          <w:tcPr>
            <w:tcW w:w="1002" w:type="dxa"/>
          </w:tcPr>
          <w:p w:rsidR="009014AB" w:rsidRPr="009014AB" w:rsidRDefault="009014AB" w:rsidP="009014AB">
            <w:pPr>
              <w:pStyle w:val="Default"/>
              <w:snapToGrid w:val="0"/>
              <w:rPr>
                <w:sz w:val="14"/>
                <w:szCs w:val="14"/>
              </w:rPr>
            </w:pPr>
            <w:r w:rsidRPr="009014AB">
              <w:rPr>
                <w:b/>
                <w:bCs/>
                <w:sz w:val="14"/>
                <w:szCs w:val="14"/>
              </w:rPr>
              <w:t xml:space="preserve">1 CFU/g </w:t>
            </w:r>
          </w:p>
        </w:tc>
        <w:tc>
          <w:tcPr>
            <w:tcW w:w="2683" w:type="dxa"/>
          </w:tcPr>
          <w:p w:rsidR="009014AB" w:rsidRPr="00DF79AA" w:rsidRDefault="009014AB" w:rsidP="00DF79AA">
            <w:pPr>
              <w:pStyle w:val="Default"/>
              <w:snapToGrid w:val="0"/>
              <w:spacing w:after="11"/>
              <w:rPr>
                <w:b/>
                <w:bCs/>
                <w:sz w:val="14"/>
                <w:szCs w:val="14"/>
              </w:rPr>
            </w:pPr>
          </w:p>
        </w:tc>
        <w:tc>
          <w:tcPr>
            <w:tcW w:w="1134" w:type="dxa"/>
          </w:tcPr>
          <w:p w:rsidR="009014AB" w:rsidRPr="00DF79AA" w:rsidRDefault="009014AB" w:rsidP="00DF79AA">
            <w:pPr>
              <w:pStyle w:val="Default"/>
              <w:snapToGrid w:val="0"/>
              <w:spacing w:after="11"/>
              <w:rPr>
                <w:b/>
                <w:bCs/>
                <w:sz w:val="14"/>
                <w:szCs w:val="14"/>
              </w:rPr>
            </w:pPr>
          </w:p>
        </w:tc>
      </w:tr>
      <w:tr w:rsidR="009014AB" w:rsidRPr="00DF79AA" w:rsidTr="00562103">
        <w:tc>
          <w:tcPr>
            <w:tcW w:w="2802" w:type="dxa"/>
          </w:tcPr>
          <w:p w:rsidR="009014AB" w:rsidRPr="009014AB" w:rsidRDefault="009014AB" w:rsidP="009014AB">
            <w:pPr>
              <w:pStyle w:val="Default"/>
              <w:snapToGrid w:val="0"/>
              <w:rPr>
                <w:sz w:val="14"/>
                <w:szCs w:val="14"/>
              </w:rPr>
            </w:pPr>
            <w:r w:rsidRPr="009014AB">
              <w:rPr>
                <w:i/>
                <w:iCs/>
                <w:sz w:val="14"/>
                <w:szCs w:val="14"/>
              </w:rPr>
              <w:t xml:space="preserve">Listeria </w:t>
            </w:r>
            <w:proofErr w:type="spellStart"/>
            <w:r w:rsidRPr="009014AB">
              <w:rPr>
                <w:i/>
                <w:iCs/>
                <w:sz w:val="14"/>
                <w:szCs w:val="14"/>
              </w:rPr>
              <w:t>innocua</w:t>
            </w:r>
            <w:proofErr w:type="spellEnd"/>
            <w:r w:rsidRPr="009014AB">
              <w:rPr>
                <w:i/>
                <w:iCs/>
                <w:sz w:val="14"/>
                <w:szCs w:val="14"/>
              </w:rPr>
              <w:t xml:space="preserve"> </w:t>
            </w:r>
            <w:r w:rsidRPr="009014AB">
              <w:rPr>
                <w:sz w:val="14"/>
                <w:szCs w:val="14"/>
              </w:rPr>
              <w:t xml:space="preserve">ATCC 33090 </w:t>
            </w:r>
          </w:p>
        </w:tc>
        <w:tc>
          <w:tcPr>
            <w:tcW w:w="1002" w:type="dxa"/>
          </w:tcPr>
          <w:p w:rsidR="009014AB" w:rsidRPr="009014AB" w:rsidRDefault="009014AB" w:rsidP="009014AB">
            <w:pPr>
              <w:pStyle w:val="Default"/>
              <w:snapToGrid w:val="0"/>
              <w:rPr>
                <w:sz w:val="14"/>
                <w:szCs w:val="14"/>
              </w:rPr>
            </w:pPr>
            <w:r w:rsidRPr="009014AB">
              <w:rPr>
                <w:b/>
                <w:bCs/>
                <w:sz w:val="14"/>
                <w:szCs w:val="14"/>
              </w:rPr>
              <w:t xml:space="preserve">1 CFU/g </w:t>
            </w:r>
          </w:p>
        </w:tc>
        <w:tc>
          <w:tcPr>
            <w:tcW w:w="2683" w:type="dxa"/>
          </w:tcPr>
          <w:p w:rsidR="009014AB" w:rsidRPr="00DF79AA" w:rsidRDefault="009014AB" w:rsidP="00DF79AA">
            <w:pPr>
              <w:pStyle w:val="Default"/>
              <w:snapToGrid w:val="0"/>
              <w:spacing w:after="11"/>
              <w:rPr>
                <w:b/>
                <w:bCs/>
                <w:sz w:val="14"/>
                <w:szCs w:val="14"/>
              </w:rPr>
            </w:pPr>
          </w:p>
        </w:tc>
        <w:tc>
          <w:tcPr>
            <w:tcW w:w="1134" w:type="dxa"/>
          </w:tcPr>
          <w:p w:rsidR="009014AB" w:rsidRPr="00DF79AA" w:rsidRDefault="009014AB" w:rsidP="00DF79AA">
            <w:pPr>
              <w:pStyle w:val="Default"/>
              <w:snapToGrid w:val="0"/>
              <w:spacing w:after="11"/>
              <w:rPr>
                <w:b/>
                <w:bCs/>
                <w:sz w:val="14"/>
                <w:szCs w:val="14"/>
              </w:rPr>
            </w:pPr>
          </w:p>
        </w:tc>
      </w:tr>
      <w:tr w:rsidR="009014AB" w:rsidRPr="00DF79AA" w:rsidTr="00562103">
        <w:tc>
          <w:tcPr>
            <w:tcW w:w="2802" w:type="dxa"/>
          </w:tcPr>
          <w:p w:rsidR="009014AB" w:rsidRPr="009014AB" w:rsidRDefault="009014AB" w:rsidP="009014AB">
            <w:pPr>
              <w:pStyle w:val="Default"/>
              <w:snapToGrid w:val="0"/>
              <w:rPr>
                <w:sz w:val="14"/>
                <w:szCs w:val="14"/>
              </w:rPr>
            </w:pPr>
            <w:r w:rsidRPr="009014AB">
              <w:rPr>
                <w:i/>
                <w:iCs/>
                <w:sz w:val="14"/>
                <w:szCs w:val="14"/>
              </w:rPr>
              <w:t xml:space="preserve">Listeria monocytogenes </w:t>
            </w:r>
            <w:r w:rsidRPr="009014AB">
              <w:rPr>
                <w:sz w:val="14"/>
                <w:szCs w:val="14"/>
              </w:rPr>
              <w:t xml:space="preserve">ATCC 7644 </w:t>
            </w:r>
          </w:p>
        </w:tc>
        <w:tc>
          <w:tcPr>
            <w:tcW w:w="1002" w:type="dxa"/>
          </w:tcPr>
          <w:p w:rsidR="009014AB" w:rsidRPr="009014AB" w:rsidRDefault="009014AB" w:rsidP="009014AB">
            <w:pPr>
              <w:pStyle w:val="Default"/>
              <w:snapToGrid w:val="0"/>
              <w:rPr>
                <w:sz w:val="14"/>
                <w:szCs w:val="14"/>
              </w:rPr>
            </w:pPr>
            <w:r w:rsidRPr="009014AB">
              <w:rPr>
                <w:b/>
                <w:bCs/>
                <w:sz w:val="14"/>
                <w:szCs w:val="14"/>
              </w:rPr>
              <w:t xml:space="preserve">1 CFU/g </w:t>
            </w:r>
          </w:p>
        </w:tc>
        <w:tc>
          <w:tcPr>
            <w:tcW w:w="2683" w:type="dxa"/>
          </w:tcPr>
          <w:p w:rsidR="009014AB" w:rsidRPr="00DF79AA" w:rsidRDefault="009014AB" w:rsidP="00DF79AA">
            <w:pPr>
              <w:pStyle w:val="Default"/>
              <w:snapToGrid w:val="0"/>
              <w:spacing w:after="11"/>
              <w:rPr>
                <w:b/>
                <w:bCs/>
                <w:sz w:val="14"/>
                <w:szCs w:val="14"/>
              </w:rPr>
            </w:pPr>
          </w:p>
        </w:tc>
        <w:tc>
          <w:tcPr>
            <w:tcW w:w="1134" w:type="dxa"/>
          </w:tcPr>
          <w:p w:rsidR="009014AB" w:rsidRPr="00DF79AA" w:rsidRDefault="009014AB" w:rsidP="00DF79AA">
            <w:pPr>
              <w:pStyle w:val="Default"/>
              <w:snapToGrid w:val="0"/>
              <w:spacing w:after="11"/>
              <w:rPr>
                <w:b/>
                <w:bCs/>
                <w:sz w:val="14"/>
                <w:szCs w:val="14"/>
              </w:rPr>
            </w:pPr>
          </w:p>
        </w:tc>
      </w:tr>
      <w:tr w:rsidR="009014AB" w:rsidRPr="00DF79AA" w:rsidTr="00562103">
        <w:tc>
          <w:tcPr>
            <w:tcW w:w="2802" w:type="dxa"/>
          </w:tcPr>
          <w:p w:rsidR="009014AB" w:rsidRPr="009014AB" w:rsidRDefault="009014AB" w:rsidP="009014AB">
            <w:pPr>
              <w:pStyle w:val="Default"/>
              <w:snapToGrid w:val="0"/>
              <w:rPr>
                <w:sz w:val="14"/>
                <w:szCs w:val="14"/>
              </w:rPr>
            </w:pPr>
            <w:r w:rsidRPr="009014AB">
              <w:rPr>
                <w:i/>
                <w:iCs/>
                <w:sz w:val="14"/>
                <w:szCs w:val="14"/>
              </w:rPr>
              <w:t xml:space="preserve">Aspergillus </w:t>
            </w:r>
            <w:proofErr w:type="spellStart"/>
            <w:r w:rsidRPr="009014AB">
              <w:rPr>
                <w:i/>
                <w:iCs/>
                <w:sz w:val="14"/>
                <w:szCs w:val="14"/>
              </w:rPr>
              <w:t>niger</w:t>
            </w:r>
            <w:proofErr w:type="spellEnd"/>
            <w:r w:rsidRPr="009014AB">
              <w:rPr>
                <w:i/>
                <w:iCs/>
                <w:sz w:val="14"/>
                <w:szCs w:val="14"/>
              </w:rPr>
              <w:t xml:space="preserve"> </w:t>
            </w:r>
            <w:r w:rsidRPr="009014AB">
              <w:rPr>
                <w:sz w:val="14"/>
                <w:szCs w:val="14"/>
              </w:rPr>
              <w:t xml:space="preserve">ATCC 964 </w:t>
            </w:r>
          </w:p>
        </w:tc>
        <w:tc>
          <w:tcPr>
            <w:tcW w:w="1002" w:type="dxa"/>
          </w:tcPr>
          <w:p w:rsidR="009014AB" w:rsidRPr="009014AB" w:rsidRDefault="009014AB" w:rsidP="009014AB">
            <w:pPr>
              <w:pStyle w:val="Default"/>
              <w:snapToGrid w:val="0"/>
              <w:rPr>
                <w:sz w:val="14"/>
                <w:szCs w:val="14"/>
              </w:rPr>
            </w:pPr>
            <w:r w:rsidRPr="009014AB">
              <w:rPr>
                <w:b/>
                <w:bCs/>
                <w:sz w:val="14"/>
                <w:szCs w:val="14"/>
              </w:rPr>
              <w:t>10</w:t>
            </w:r>
            <w:r w:rsidRPr="003B0151">
              <w:rPr>
                <w:b/>
                <w:bCs/>
                <w:sz w:val="14"/>
                <w:szCs w:val="14"/>
                <w:vertAlign w:val="superscript"/>
              </w:rPr>
              <w:t>2</w:t>
            </w:r>
            <w:r w:rsidRPr="009014AB">
              <w:rPr>
                <w:b/>
                <w:bCs/>
                <w:sz w:val="14"/>
                <w:szCs w:val="14"/>
              </w:rPr>
              <w:t xml:space="preserve"> CFU/g </w:t>
            </w:r>
          </w:p>
        </w:tc>
        <w:tc>
          <w:tcPr>
            <w:tcW w:w="2683" w:type="dxa"/>
          </w:tcPr>
          <w:p w:rsidR="009014AB" w:rsidRPr="00DF79AA" w:rsidRDefault="009014AB" w:rsidP="00DF79AA">
            <w:pPr>
              <w:pStyle w:val="Default"/>
              <w:snapToGrid w:val="0"/>
              <w:spacing w:after="11"/>
              <w:rPr>
                <w:b/>
                <w:bCs/>
                <w:sz w:val="14"/>
                <w:szCs w:val="14"/>
              </w:rPr>
            </w:pPr>
          </w:p>
        </w:tc>
        <w:tc>
          <w:tcPr>
            <w:tcW w:w="1134" w:type="dxa"/>
          </w:tcPr>
          <w:p w:rsidR="009014AB" w:rsidRPr="00DF79AA" w:rsidRDefault="009014AB" w:rsidP="00DF79AA">
            <w:pPr>
              <w:pStyle w:val="Default"/>
              <w:snapToGrid w:val="0"/>
              <w:spacing w:after="11"/>
              <w:rPr>
                <w:b/>
                <w:bCs/>
                <w:sz w:val="14"/>
                <w:szCs w:val="14"/>
              </w:rPr>
            </w:pPr>
          </w:p>
        </w:tc>
      </w:tr>
      <w:tr w:rsidR="009014AB" w:rsidRPr="00DF79AA" w:rsidTr="00562103">
        <w:tc>
          <w:tcPr>
            <w:tcW w:w="2802" w:type="dxa"/>
          </w:tcPr>
          <w:p w:rsidR="009014AB" w:rsidRPr="009014AB" w:rsidRDefault="009014AB" w:rsidP="009014AB">
            <w:pPr>
              <w:pStyle w:val="Default"/>
              <w:snapToGrid w:val="0"/>
              <w:rPr>
                <w:sz w:val="14"/>
                <w:szCs w:val="14"/>
              </w:rPr>
            </w:pPr>
            <w:r w:rsidRPr="009014AB">
              <w:rPr>
                <w:i/>
                <w:iCs/>
                <w:sz w:val="14"/>
                <w:szCs w:val="14"/>
              </w:rPr>
              <w:t xml:space="preserve">Saccharomyces cerevisiae </w:t>
            </w:r>
            <w:r w:rsidRPr="009014AB">
              <w:rPr>
                <w:sz w:val="14"/>
                <w:szCs w:val="14"/>
              </w:rPr>
              <w:t xml:space="preserve">ATCC 18824 </w:t>
            </w:r>
          </w:p>
        </w:tc>
        <w:tc>
          <w:tcPr>
            <w:tcW w:w="1002" w:type="dxa"/>
          </w:tcPr>
          <w:p w:rsidR="009014AB" w:rsidRPr="009014AB" w:rsidRDefault="009014AB" w:rsidP="009014AB">
            <w:pPr>
              <w:pStyle w:val="Default"/>
              <w:snapToGrid w:val="0"/>
              <w:rPr>
                <w:sz w:val="14"/>
                <w:szCs w:val="14"/>
              </w:rPr>
            </w:pPr>
            <w:r w:rsidRPr="009014AB">
              <w:rPr>
                <w:b/>
                <w:bCs/>
                <w:sz w:val="14"/>
                <w:szCs w:val="14"/>
              </w:rPr>
              <w:t>10</w:t>
            </w:r>
            <w:r w:rsidRPr="003B0151">
              <w:rPr>
                <w:b/>
                <w:bCs/>
                <w:sz w:val="14"/>
                <w:szCs w:val="14"/>
                <w:vertAlign w:val="superscript"/>
              </w:rPr>
              <w:t>2</w:t>
            </w:r>
            <w:r w:rsidRPr="009014AB">
              <w:rPr>
                <w:b/>
                <w:bCs/>
                <w:sz w:val="14"/>
                <w:szCs w:val="14"/>
              </w:rPr>
              <w:t xml:space="preserve"> CFU/g </w:t>
            </w:r>
          </w:p>
        </w:tc>
        <w:tc>
          <w:tcPr>
            <w:tcW w:w="2683" w:type="dxa"/>
          </w:tcPr>
          <w:p w:rsidR="009014AB" w:rsidRPr="00DF79AA" w:rsidRDefault="009014AB" w:rsidP="00DF79AA">
            <w:pPr>
              <w:pStyle w:val="Default"/>
              <w:snapToGrid w:val="0"/>
              <w:spacing w:after="11"/>
              <w:rPr>
                <w:b/>
                <w:bCs/>
                <w:sz w:val="14"/>
                <w:szCs w:val="14"/>
              </w:rPr>
            </w:pPr>
          </w:p>
        </w:tc>
        <w:tc>
          <w:tcPr>
            <w:tcW w:w="1134" w:type="dxa"/>
          </w:tcPr>
          <w:p w:rsidR="009014AB" w:rsidRPr="00DF79AA" w:rsidRDefault="009014AB" w:rsidP="00DF79AA">
            <w:pPr>
              <w:pStyle w:val="Default"/>
              <w:snapToGrid w:val="0"/>
              <w:spacing w:after="11"/>
              <w:rPr>
                <w:b/>
                <w:bCs/>
                <w:sz w:val="14"/>
                <w:szCs w:val="14"/>
              </w:rPr>
            </w:pPr>
          </w:p>
        </w:tc>
      </w:tr>
      <w:tr w:rsidR="009014AB" w:rsidRPr="00DF79AA" w:rsidTr="00562103">
        <w:tc>
          <w:tcPr>
            <w:tcW w:w="2802" w:type="dxa"/>
          </w:tcPr>
          <w:p w:rsidR="009014AB" w:rsidRPr="009014AB" w:rsidRDefault="009014AB" w:rsidP="009014AB">
            <w:pPr>
              <w:pStyle w:val="Default"/>
              <w:snapToGrid w:val="0"/>
              <w:rPr>
                <w:sz w:val="14"/>
                <w:szCs w:val="14"/>
              </w:rPr>
            </w:pPr>
            <w:r w:rsidRPr="009014AB">
              <w:rPr>
                <w:i/>
                <w:iCs/>
                <w:sz w:val="14"/>
                <w:szCs w:val="14"/>
              </w:rPr>
              <w:t xml:space="preserve">Enterococcus </w:t>
            </w:r>
            <w:proofErr w:type="spellStart"/>
            <w:r w:rsidRPr="009014AB">
              <w:rPr>
                <w:i/>
                <w:iCs/>
                <w:sz w:val="14"/>
                <w:szCs w:val="14"/>
              </w:rPr>
              <w:t>faecalis</w:t>
            </w:r>
            <w:proofErr w:type="spellEnd"/>
            <w:r w:rsidRPr="009014AB">
              <w:rPr>
                <w:i/>
                <w:iCs/>
                <w:sz w:val="14"/>
                <w:szCs w:val="14"/>
              </w:rPr>
              <w:t xml:space="preserve"> </w:t>
            </w:r>
            <w:r w:rsidRPr="009014AB">
              <w:rPr>
                <w:sz w:val="14"/>
                <w:szCs w:val="14"/>
              </w:rPr>
              <w:t xml:space="preserve">ATCC 29212 </w:t>
            </w:r>
          </w:p>
        </w:tc>
        <w:tc>
          <w:tcPr>
            <w:tcW w:w="1002" w:type="dxa"/>
          </w:tcPr>
          <w:p w:rsidR="009014AB" w:rsidRPr="009014AB" w:rsidRDefault="009014AB" w:rsidP="009014AB">
            <w:pPr>
              <w:pStyle w:val="Default"/>
              <w:snapToGrid w:val="0"/>
              <w:rPr>
                <w:sz w:val="14"/>
                <w:szCs w:val="14"/>
              </w:rPr>
            </w:pPr>
            <w:r w:rsidRPr="009014AB">
              <w:rPr>
                <w:b/>
                <w:bCs/>
                <w:sz w:val="14"/>
                <w:szCs w:val="14"/>
              </w:rPr>
              <w:t xml:space="preserve">1 CFU/g </w:t>
            </w:r>
          </w:p>
        </w:tc>
        <w:tc>
          <w:tcPr>
            <w:tcW w:w="2683" w:type="dxa"/>
          </w:tcPr>
          <w:p w:rsidR="009014AB" w:rsidRPr="00DF79AA" w:rsidRDefault="009014AB" w:rsidP="00DF79AA">
            <w:pPr>
              <w:pStyle w:val="Default"/>
              <w:snapToGrid w:val="0"/>
              <w:spacing w:after="11"/>
              <w:rPr>
                <w:b/>
                <w:bCs/>
                <w:sz w:val="14"/>
                <w:szCs w:val="14"/>
              </w:rPr>
            </w:pPr>
          </w:p>
        </w:tc>
        <w:tc>
          <w:tcPr>
            <w:tcW w:w="1134" w:type="dxa"/>
          </w:tcPr>
          <w:p w:rsidR="009014AB" w:rsidRPr="00DF79AA" w:rsidRDefault="009014AB" w:rsidP="00DF79AA">
            <w:pPr>
              <w:pStyle w:val="Default"/>
              <w:snapToGrid w:val="0"/>
              <w:spacing w:after="11"/>
              <w:rPr>
                <w:b/>
                <w:bCs/>
                <w:sz w:val="14"/>
                <w:szCs w:val="14"/>
              </w:rPr>
            </w:pPr>
          </w:p>
        </w:tc>
      </w:tr>
    </w:tbl>
    <w:p w:rsidR="00DF79AA" w:rsidRDefault="00DF79AA" w:rsidP="00234E62">
      <w:pPr>
        <w:pStyle w:val="Default"/>
        <w:snapToGrid w:val="0"/>
        <w:spacing w:after="11"/>
        <w:rPr>
          <w:b/>
          <w:bCs/>
          <w:sz w:val="14"/>
          <w:szCs w:val="14"/>
        </w:rPr>
      </w:pPr>
    </w:p>
    <w:p w:rsidR="00234E62" w:rsidRPr="00643118" w:rsidRDefault="0084064A" w:rsidP="00234E62">
      <w:pPr>
        <w:pStyle w:val="Default"/>
        <w:numPr>
          <w:ilvl w:val="0"/>
          <w:numId w:val="1"/>
        </w:numPr>
        <w:snapToGrid w:val="0"/>
        <w:rPr>
          <w:color w:val="002060"/>
          <w:sz w:val="20"/>
          <w:szCs w:val="20"/>
        </w:rPr>
      </w:pPr>
      <w:r>
        <w:rPr>
          <w:rFonts w:hint="eastAsia"/>
          <w:b/>
          <w:bCs/>
          <w:color w:val="002060"/>
          <w:sz w:val="20"/>
          <w:szCs w:val="20"/>
        </w:rPr>
        <w:t>Validity and conservation</w:t>
      </w:r>
    </w:p>
    <w:p w:rsidR="00234E62" w:rsidRDefault="00234E62" w:rsidP="0084064A">
      <w:pPr>
        <w:pStyle w:val="Default"/>
        <w:snapToGrid w:val="0"/>
        <w:spacing w:after="11"/>
        <w:rPr>
          <w:rFonts w:eastAsia="新細明體"/>
          <w:b/>
          <w:bCs/>
          <w:sz w:val="14"/>
          <w:szCs w:val="14"/>
        </w:rPr>
      </w:pPr>
    </w:p>
    <w:p w:rsidR="0084064A" w:rsidRPr="00BC4E6D" w:rsidRDefault="0084064A" w:rsidP="0084064A">
      <w:pPr>
        <w:pStyle w:val="Default"/>
        <w:snapToGrid w:val="0"/>
        <w:rPr>
          <w:sz w:val="14"/>
          <w:szCs w:val="14"/>
        </w:rPr>
      </w:pPr>
      <w:r w:rsidRPr="00BC4E6D">
        <w:rPr>
          <w:sz w:val="14"/>
          <w:szCs w:val="14"/>
        </w:rPr>
        <w:t>In the original packaging, the product has a validity of 12 months when stored at 5 °C and 6 months when stored at 20 °C and protected from direct light.</w:t>
      </w:r>
    </w:p>
    <w:p w:rsidR="00234E62" w:rsidRPr="00643118" w:rsidRDefault="00234E62" w:rsidP="00234E62">
      <w:pPr>
        <w:snapToGrid w:val="0"/>
        <w:rPr>
          <w:rFonts w:ascii="Arial" w:hAnsi="Arial" w:cs="Arial"/>
          <w:sz w:val="14"/>
          <w:szCs w:val="14"/>
        </w:rPr>
      </w:pPr>
    </w:p>
    <w:p w:rsidR="00234E62" w:rsidRPr="00643118" w:rsidRDefault="001D7D82" w:rsidP="00234E62">
      <w:pPr>
        <w:pStyle w:val="ab"/>
        <w:numPr>
          <w:ilvl w:val="0"/>
          <w:numId w:val="1"/>
        </w:numPr>
        <w:snapToGrid w:val="0"/>
        <w:ind w:leftChars="0"/>
        <w:rPr>
          <w:rFonts w:ascii="Arial" w:hAnsi="Arial" w:cs="Arial"/>
          <w:b/>
          <w:bCs/>
          <w:color w:val="002060"/>
          <w:szCs w:val="20"/>
        </w:rPr>
      </w:pPr>
      <w:r>
        <w:rPr>
          <w:rFonts w:ascii="Arial" w:hAnsi="Arial" w:cs="Arial" w:hint="eastAsia"/>
          <w:b/>
          <w:bCs/>
          <w:color w:val="002060"/>
          <w:szCs w:val="20"/>
        </w:rPr>
        <w:t>Waste management</w:t>
      </w:r>
    </w:p>
    <w:p w:rsidR="000B0021" w:rsidRDefault="000B0021" w:rsidP="00AF68D9">
      <w:pPr>
        <w:pStyle w:val="Default"/>
        <w:snapToGrid w:val="0"/>
        <w:spacing w:after="9"/>
        <w:rPr>
          <w:rFonts w:eastAsia="新細明體"/>
          <w:b/>
          <w:bCs/>
          <w:sz w:val="14"/>
          <w:szCs w:val="14"/>
        </w:rPr>
      </w:pPr>
    </w:p>
    <w:p w:rsidR="00AF68D9" w:rsidRPr="00BC4E6D" w:rsidRDefault="00AF68D9" w:rsidP="00AF68D9">
      <w:pPr>
        <w:pStyle w:val="Default"/>
        <w:snapToGrid w:val="0"/>
        <w:rPr>
          <w:sz w:val="14"/>
          <w:szCs w:val="14"/>
        </w:rPr>
      </w:pPr>
      <w:r w:rsidRPr="00BC4E6D">
        <w:rPr>
          <w:sz w:val="14"/>
          <w:szCs w:val="14"/>
        </w:rPr>
        <w:t>After sterilization and inactivation of chemical components, obtained by pressing the gas cap, the analysis bottle can be safely disposed of as a "sanitary waste non-hazardous" in accord with the DM of 25/5/</w:t>
      </w:r>
      <w:proofErr w:type="gramStart"/>
      <w:r w:rsidRPr="00BC4E6D">
        <w:rPr>
          <w:sz w:val="14"/>
          <w:szCs w:val="14"/>
        </w:rPr>
        <w:t>89,</w:t>
      </w:r>
      <w:proofErr w:type="gramEnd"/>
      <w:r w:rsidRPr="00BC4E6D">
        <w:rPr>
          <w:sz w:val="14"/>
          <w:szCs w:val="14"/>
        </w:rPr>
        <w:t xml:space="preserve"> the waste may be disposed of in the same way as the drugs which have expired.</w:t>
      </w:r>
    </w:p>
    <w:p w:rsidR="001D7D82" w:rsidRDefault="001D7D82" w:rsidP="00234E62">
      <w:pPr>
        <w:pStyle w:val="Default"/>
        <w:snapToGrid w:val="0"/>
        <w:spacing w:after="9"/>
        <w:rPr>
          <w:rFonts w:eastAsia="新細明體"/>
          <w:b/>
          <w:bCs/>
          <w:sz w:val="14"/>
          <w:szCs w:val="14"/>
        </w:rPr>
      </w:pPr>
    </w:p>
    <w:p w:rsidR="00234E62" w:rsidRPr="00643118" w:rsidRDefault="00C003BE" w:rsidP="000C5E3F">
      <w:pPr>
        <w:pStyle w:val="ab"/>
        <w:numPr>
          <w:ilvl w:val="0"/>
          <w:numId w:val="1"/>
        </w:numPr>
        <w:snapToGrid w:val="0"/>
        <w:ind w:leftChars="0"/>
        <w:rPr>
          <w:rFonts w:ascii="Arial" w:hAnsi="Arial" w:cs="Arial"/>
          <w:b/>
          <w:bCs/>
          <w:color w:val="002060"/>
          <w:szCs w:val="20"/>
        </w:rPr>
      </w:pPr>
      <w:r>
        <w:rPr>
          <w:rFonts w:ascii="Arial" w:hAnsi="Arial" w:cs="Arial" w:hint="eastAsia"/>
          <w:b/>
          <w:bCs/>
          <w:color w:val="002060"/>
          <w:szCs w:val="20"/>
        </w:rPr>
        <w:t>Warnings and precautions</w:t>
      </w:r>
    </w:p>
    <w:p w:rsidR="00234E62" w:rsidRPr="00643118" w:rsidRDefault="00234E62" w:rsidP="002B1167">
      <w:pPr>
        <w:snapToGrid w:val="0"/>
        <w:rPr>
          <w:rFonts w:ascii="Arial" w:hAnsi="Arial" w:cs="Arial"/>
          <w:sz w:val="14"/>
          <w:szCs w:val="14"/>
        </w:rPr>
      </w:pPr>
    </w:p>
    <w:p w:rsidR="002B1167" w:rsidRPr="00BC4E6D" w:rsidRDefault="002B1167" w:rsidP="002B1167">
      <w:pPr>
        <w:pStyle w:val="Default"/>
        <w:snapToGrid w:val="0"/>
        <w:rPr>
          <w:sz w:val="14"/>
          <w:szCs w:val="14"/>
        </w:rPr>
      </w:pPr>
      <w:r w:rsidRPr="00BC4E6D">
        <w:rPr>
          <w:sz w:val="14"/>
          <w:szCs w:val="14"/>
        </w:rPr>
        <w:t>The product is classified as hazardous under current legislation; it is recommended to consult the MSDS before its use.</w:t>
      </w:r>
    </w:p>
    <w:p w:rsidR="00081277" w:rsidRPr="005003F3" w:rsidRDefault="00081277" w:rsidP="005003F3"/>
    <w:sectPr w:rsidR="00081277" w:rsidRPr="005003F3" w:rsidSect="007C2C25">
      <w:headerReference w:type="default" r:id="rId9"/>
      <w:footerReference w:type="default" r:id="rId10"/>
      <w:pgSz w:w="11906" w:h="16838"/>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6E4" w:rsidRDefault="008B76E4" w:rsidP="006D1633">
      <w:r>
        <w:separator/>
      </w:r>
    </w:p>
  </w:endnote>
  <w:endnote w:type="continuationSeparator" w:id="0">
    <w:p w:rsidR="008B76E4" w:rsidRDefault="008B76E4" w:rsidP="006D1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ArmWrestler">
    <w:altName w:val="Times New Roman"/>
    <w:charset w:val="00"/>
    <w:family w:val="auto"/>
    <w:pitch w:val="variable"/>
    <w:sig w:usb0="00000001" w:usb1="00000000" w:usb2="00000000" w:usb3="00000000" w:csb0="00000011"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830" w:rsidRDefault="00C66830" w:rsidP="00C04D85">
    <w:pPr>
      <w:pStyle w:val="a5"/>
      <w:rPr>
        <w:rFonts w:ascii="Arial" w:hAnsi="Arial" w:cs="Arial"/>
        <w:sz w:val="18"/>
        <w:szCs w:val="18"/>
        <w:shd w:val="clear" w:color="auto" w:fill="FFFFFE"/>
        <w:lang w:val="de-DE"/>
      </w:rPr>
    </w:pPr>
    <w:r w:rsidRPr="00F70B44">
      <w:rPr>
        <w:rFonts w:ascii="Candara" w:hAnsi="Candara"/>
        <w:noProof/>
        <w:color w:val="1D1B11" w:themeColor="background2" w:themeShade="1A"/>
      </w:rPr>
      <w:drawing>
        <wp:anchor distT="0" distB="0" distL="114300" distR="114300" simplePos="0" relativeHeight="251665408" behindDoc="0" locked="0" layoutInCell="1" allowOverlap="1" wp14:anchorId="31537B1C" wp14:editId="6AA69D43">
          <wp:simplePos x="0" y="0"/>
          <wp:positionH relativeFrom="column">
            <wp:posOffset>1323975</wp:posOffset>
          </wp:positionH>
          <wp:positionV relativeFrom="paragraph">
            <wp:posOffset>42545</wp:posOffset>
          </wp:positionV>
          <wp:extent cx="415925" cy="623570"/>
          <wp:effectExtent l="0" t="0" r="3175" b="5080"/>
          <wp:wrapNone/>
          <wp:docPr id="7" name="圖片 8" descr="c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wn.jpg"/>
                  <pic:cNvPicPr/>
                </pic:nvPicPr>
                <pic:blipFill>
                  <a:blip r:embed="rId1"/>
                  <a:stretch>
                    <a:fillRect/>
                  </a:stretch>
                </pic:blipFill>
                <pic:spPr>
                  <a:xfrm>
                    <a:off x="0" y="0"/>
                    <a:ext cx="415925" cy="623570"/>
                  </a:xfrm>
                  <a:prstGeom prst="rect">
                    <a:avLst/>
                  </a:prstGeom>
                </pic:spPr>
              </pic:pic>
            </a:graphicData>
          </a:graphic>
          <wp14:sizeRelH relativeFrom="margin">
            <wp14:pctWidth>0</wp14:pctWidth>
          </wp14:sizeRelH>
          <wp14:sizeRelV relativeFrom="margin">
            <wp14:pctHeight>0</wp14:pctHeight>
          </wp14:sizeRelV>
        </wp:anchor>
      </w:drawing>
    </w:r>
  </w:p>
  <w:p w:rsidR="00C66830" w:rsidRDefault="00C66830" w:rsidP="00C04D85">
    <w:pPr>
      <w:pStyle w:val="a5"/>
      <w:rPr>
        <w:rFonts w:ascii="Arial" w:hAnsi="Arial" w:cs="Arial"/>
        <w:sz w:val="18"/>
        <w:szCs w:val="18"/>
        <w:shd w:val="clear" w:color="auto" w:fill="FFFFFE"/>
        <w:lang w:val="de-DE"/>
      </w:rPr>
    </w:pPr>
    <w:r w:rsidRPr="0061798B">
      <w:rPr>
        <w:rFonts w:ascii="Arial" w:hAnsi="Arial" w:cs="Arial"/>
        <w:noProof/>
        <w:sz w:val="24"/>
        <w:szCs w:val="24"/>
        <w:shd w:val="clear" w:color="auto" w:fill="FFFFFE"/>
      </w:rPr>
      <w:drawing>
        <wp:anchor distT="0" distB="0" distL="114300" distR="114300" simplePos="0" relativeHeight="251663360" behindDoc="0" locked="0" layoutInCell="1" allowOverlap="1" wp14:anchorId="14EC071B" wp14:editId="3DD962A3">
          <wp:simplePos x="0" y="0"/>
          <wp:positionH relativeFrom="column">
            <wp:posOffset>2009775</wp:posOffset>
          </wp:positionH>
          <wp:positionV relativeFrom="paragraph">
            <wp:posOffset>30480</wp:posOffset>
          </wp:positionV>
          <wp:extent cx="1765300" cy="161925"/>
          <wp:effectExtent l="0" t="0" r="6350" b="9525"/>
          <wp:wrapNone/>
          <wp:docPr id="10" name="圖片 6" descr="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G.jpg"/>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65300" cy="1619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mc:AlternateContent>
        <mc:Choice Requires="wps">
          <w:drawing>
            <wp:anchor distT="0" distB="0" distL="114300" distR="114300" simplePos="0" relativeHeight="251659264" behindDoc="0" locked="0" layoutInCell="1" allowOverlap="1" wp14:anchorId="57A9DA29" wp14:editId="2A2333A8">
              <wp:simplePos x="0" y="0"/>
              <wp:positionH relativeFrom="column">
                <wp:posOffset>1431925</wp:posOffset>
              </wp:positionH>
              <wp:positionV relativeFrom="paragraph">
                <wp:posOffset>64135</wp:posOffset>
              </wp:positionV>
              <wp:extent cx="2875915" cy="399415"/>
              <wp:effectExtent l="0" t="0" r="635" b="635"/>
              <wp:wrapNone/>
              <wp:docPr id="6" name="文字方塊 6"/>
              <wp:cNvGraphicFramePr/>
              <a:graphic xmlns:a="http://schemas.openxmlformats.org/drawingml/2006/main">
                <a:graphicData uri="http://schemas.microsoft.com/office/word/2010/wordprocessingShape">
                  <wps:wsp>
                    <wps:cNvSpPr txBox="1"/>
                    <wps:spPr>
                      <a:xfrm>
                        <a:off x="0" y="0"/>
                        <a:ext cx="2875915" cy="399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04D85" w:rsidRPr="006D1633" w:rsidRDefault="00E17C3D" w:rsidP="00C04D85">
                          <w:pPr>
                            <w:pStyle w:val="a5"/>
                            <w:jc w:val="right"/>
                            <w:rPr>
                              <w:rFonts w:ascii="Arial" w:hAnsi="Arial" w:cs="Arial"/>
                              <w:color w:val="31849B" w:themeColor="accent5" w:themeShade="BF"/>
                              <w:shd w:val="clear" w:color="auto" w:fill="FFFFFE"/>
                              <w:lang w:val="de-DE"/>
                            </w:rPr>
                          </w:pPr>
                          <w:r w:rsidRPr="006D1633">
                            <w:rPr>
                              <w:rFonts w:ascii="Arial" w:hAnsi="Arial" w:cs="Arial"/>
                              <w:color w:val="31849B" w:themeColor="accent5" w:themeShade="BF"/>
                              <w:sz w:val="18"/>
                              <w:szCs w:val="18"/>
                              <w:shd w:val="clear" w:color="auto" w:fill="FFFFFE"/>
                              <w:lang w:val="de-DE"/>
                            </w:rPr>
                            <w:t>Gmb</w:t>
                          </w:r>
                          <w:r w:rsidRPr="006D1633">
                            <w:rPr>
                              <w:rFonts w:ascii="Arial" w:hAnsi="Arial" w:cs="Arial" w:hint="eastAsia"/>
                              <w:color w:val="31849B" w:themeColor="accent5" w:themeShade="BF"/>
                              <w:sz w:val="18"/>
                              <w:szCs w:val="18"/>
                              <w:shd w:val="clear" w:color="auto" w:fill="FFFFFE"/>
                              <w:lang w:val="de-DE"/>
                            </w:rPr>
                            <w:t>H</w:t>
                          </w:r>
                        </w:p>
                        <w:p w:rsidR="00C04D85" w:rsidRPr="00D31D54" w:rsidRDefault="00E17C3D" w:rsidP="00C04D85">
                          <w:pPr>
                            <w:jc w:val="right"/>
                            <w:rPr>
                              <w:lang w:val="de-DE"/>
                            </w:rPr>
                          </w:pPr>
                          <w:r w:rsidRPr="006D1633">
                            <w:rPr>
                              <w:rFonts w:ascii="Arial" w:hAnsi="Arial" w:cs="Arial"/>
                              <w:color w:val="31849B" w:themeColor="accent5" w:themeShade="BF"/>
                              <w:sz w:val="16"/>
                              <w:szCs w:val="16"/>
                              <w:shd w:val="clear" w:color="auto" w:fill="FFFFFE"/>
                              <w:lang w:val="de-DE"/>
                            </w:rPr>
                            <w:t>Bettinastraße 30, 60325 Frankfurt am Main, Germany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6" o:spid="_x0000_s1028" type="#_x0000_t202" style="position:absolute;margin-left:112.75pt;margin-top:5.05pt;width:226.45pt;height:3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" fillcolor="white [3201]" stroked="f" strokeweight=".5pt">
              <v:textbox>
                <w:txbxContent>
                  <w:p w:rsidR="00C04D85" w:rsidRPr="006D1633" w:rsidRDefault="00E17C3D" w:rsidP="00C04D85">
                    <w:pPr>
                      <w:pStyle w:val="a5"/>
                      <w:jc w:val="right"/>
                      <w:rPr>
                        <w:rFonts w:ascii="Arial" w:hAnsi="Arial" w:cs="Arial"/>
                        <w:color w:val="31849B" w:themeColor="accent5" w:themeShade="BF"/>
                        <w:shd w:val="clear" w:color="auto" w:fill="FFFFFE"/>
                        <w:lang w:val="de-DE"/>
                      </w:rPr>
                    </w:pPr>
                    <w:r w:rsidRPr="006D1633">
                      <w:rPr>
                        <w:rFonts w:ascii="Arial" w:hAnsi="Arial" w:cs="Arial"/>
                        <w:color w:val="31849B" w:themeColor="accent5" w:themeShade="BF"/>
                        <w:sz w:val="18"/>
                        <w:szCs w:val="18"/>
                        <w:shd w:val="clear" w:color="auto" w:fill="FFFFFE"/>
                        <w:lang w:val="de-DE"/>
                      </w:rPr>
                      <w:t>Gmb</w:t>
                    </w:r>
                    <w:r w:rsidRPr="006D1633">
                      <w:rPr>
                        <w:rFonts w:ascii="Arial" w:hAnsi="Arial" w:cs="Arial" w:hint="eastAsia"/>
                        <w:color w:val="31849B" w:themeColor="accent5" w:themeShade="BF"/>
                        <w:sz w:val="18"/>
                        <w:szCs w:val="18"/>
                        <w:shd w:val="clear" w:color="auto" w:fill="FFFFFE"/>
                        <w:lang w:val="de-DE"/>
                      </w:rPr>
                      <w:t>H</w:t>
                    </w:r>
                  </w:p>
                  <w:p w:rsidR="00C04D85" w:rsidRPr="00D31D54" w:rsidRDefault="00E17C3D" w:rsidP="00C04D85">
                    <w:pPr>
                      <w:jc w:val="right"/>
                      <w:rPr>
                        <w:lang w:val="de-DE"/>
                      </w:rPr>
                    </w:pPr>
                    <w:r w:rsidRPr="006D1633">
                      <w:rPr>
                        <w:rFonts w:ascii="Arial" w:hAnsi="Arial" w:cs="Arial"/>
                        <w:color w:val="31849B" w:themeColor="accent5" w:themeShade="BF"/>
                        <w:sz w:val="16"/>
                        <w:szCs w:val="16"/>
                        <w:shd w:val="clear" w:color="auto" w:fill="FFFFFE"/>
                        <w:lang w:val="de-DE"/>
                      </w:rPr>
                      <w:t>Bettinastraße 30, 60325 Frankfurt am Main, Germany</w:t>
                    </w:r>
                  </w:p>
                </w:txbxContent>
              </v:textbox>
            </v:shape>
          </w:pict>
        </mc:Fallback>
      </mc:AlternateContent>
    </w:r>
  </w:p>
  <w:p w:rsidR="00C04D85" w:rsidRPr="00826AA6" w:rsidRDefault="00C66830" w:rsidP="00C04D85">
    <w:pPr>
      <w:pStyle w:val="a5"/>
      <w:rPr>
        <w:rFonts w:ascii="Arial" w:hAnsi="Arial" w:cs="Arial"/>
        <w:sz w:val="18"/>
        <w:szCs w:val="18"/>
        <w:shd w:val="clear" w:color="auto" w:fill="FFFFFE"/>
        <w:lang w:val="de-DE"/>
      </w:rPr>
    </w:pPr>
    <w:r>
      <w:rPr>
        <w:rFonts w:ascii="Candara" w:hAnsi="Candara"/>
        <w:noProof/>
        <w:color w:val="1D1B11" w:themeColor="background2" w:themeShade="1A"/>
      </w:rPr>
      <mc:AlternateContent>
        <mc:Choice Requires="wps">
          <w:drawing>
            <wp:anchor distT="0" distB="0" distL="114300" distR="114300" simplePos="0" relativeHeight="251667456" behindDoc="0" locked="0" layoutInCell="1" allowOverlap="1" wp14:anchorId="238188ED" wp14:editId="3B6EBE38">
              <wp:simplePos x="0" y="0"/>
              <wp:positionH relativeFrom="column">
                <wp:posOffset>1933575</wp:posOffset>
              </wp:positionH>
              <wp:positionV relativeFrom="paragraph">
                <wp:posOffset>270510</wp:posOffset>
              </wp:positionV>
              <wp:extent cx="1990725" cy="304800"/>
              <wp:effectExtent l="0" t="0" r="9525" b="0"/>
              <wp:wrapNone/>
              <wp:docPr id="3" name="文字方塊 3"/>
              <wp:cNvGraphicFramePr/>
              <a:graphic xmlns:a="http://schemas.openxmlformats.org/drawingml/2006/main">
                <a:graphicData uri="http://schemas.microsoft.com/office/word/2010/wordprocessingShape">
                  <wps:wsp>
                    <wps:cNvSpPr txBox="1"/>
                    <wps:spPr>
                      <a:xfrm>
                        <a:off x="0" y="0"/>
                        <a:ext cx="1990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6830" w:rsidRDefault="00C66830" w:rsidP="00C66830">
                          <w:pPr>
                            <w:jc w:val="center"/>
                          </w:pPr>
                          <w:r>
                            <w:rPr>
                              <w:rFonts w:hint="eastAsia"/>
                            </w:rPr>
                            <w:t xml:space="preserve">Page </w:t>
                          </w:r>
                          <w:r>
                            <w:fldChar w:fldCharType="begin"/>
                          </w:r>
                          <w:r>
                            <w:instrText>PAGE   \* MERGEFORMAT</w:instrText>
                          </w:r>
                          <w:r>
                            <w:fldChar w:fldCharType="separate"/>
                          </w:r>
                          <w:r w:rsidR="003B0151" w:rsidRPr="003B0151">
                            <w:rPr>
                              <w:noProof/>
                              <w:lang w:val="zh-TW"/>
                            </w:rPr>
                            <w:t>1</w:t>
                          </w:r>
                          <w:r>
                            <w:fldChar w:fldCharType="end"/>
                          </w:r>
                          <w:r w:rsidR="0065681B">
                            <w:rPr>
                              <w:rFonts w:hint="eastAsia"/>
                            </w:rPr>
                            <w:t xml:space="preserve"> of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3" o:spid="_x0000_s1029" type="#_x0000_t202" style="position:absolute;margin-left:152.25pt;margin-top:21.3pt;width:156.75pt;height:2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" fillcolor="white [3201]" stroked="f" strokeweight=".5pt">
              <v:textbox>
                <w:txbxContent>
                  <w:p w:rsidR="00C66830" w:rsidRDefault="00C66830" w:rsidP="00C66830">
                    <w:pPr>
                      <w:jc w:val="center"/>
                    </w:pPr>
                    <w:r>
                      <w:rPr>
                        <w:rFonts w:hint="eastAsia"/>
                      </w:rPr>
                      <w:t xml:space="preserve">Page </w:t>
                    </w:r>
                    <w:r>
                      <w:fldChar w:fldCharType="begin"/>
                    </w:r>
                    <w:r>
                      <w:instrText>PAGE   \* MERGEFORMAT</w:instrText>
                    </w:r>
                    <w:r>
                      <w:fldChar w:fldCharType="separate"/>
                    </w:r>
                    <w:r w:rsidR="003B0151" w:rsidRPr="003B0151">
                      <w:rPr>
                        <w:noProof/>
                        <w:lang w:val="zh-TW"/>
                      </w:rPr>
                      <w:t>1</w:t>
                    </w:r>
                    <w:r>
                      <w:fldChar w:fldCharType="end"/>
                    </w:r>
                    <w:r w:rsidR="0065681B">
                      <w:rPr>
                        <w:rFonts w:hint="eastAsia"/>
                      </w:rPr>
                      <w:t xml:space="preserve"> of 1</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6E4" w:rsidRDefault="008B76E4" w:rsidP="006D1633">
      <w:r>
        <w:separator/>
      </w:r>
    </w:p>
  </w:footnote>
  <w:footnote w:type="continuationSeparator" w:id="0">
    <w:p w:rsidR="008B76E4" w:rsidRDefault="008B76E4" w:rsidP="006D16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D85" w:rsidRPr="00FC6EA4" w:rsidRDefault="00FC6EA4" w:rsidP="00FC6EA4">
    <w:pPr>
      <w:pStyle w:val="a3"/>
      <w:jc w:val="right"/>
      <w:rPr>
        <w:rFonts w:ascii="Arial" w:hAnsi="Arial" w:cs="Arial"/>
        <w:color w:val="404040" w:themeColor="text1" w:themeTint="BF"/>
        <w:sz w:val="24"/>
        <w:szCs w:val="24"/>
      </w:rPr>
    </w:pPr>
    <w:r>
      <w:rPr>
        <w:rFonts w:ascii="Candara" w:hAnsi="Candara"/>
        <w:noProof/>
        <w:color w:val="1D1B11" w:themeColor="background2" w:themeShade="1A"/>
      </w:rPr>
      <mc:AlternateContent>
        <mc:Choice Requires="wps">
          <w:drawing>
            <wp:anchor distT="0" distB="0" distL="114300" distR="114300" simplePos="0" relativeHeight="251662336" behindDoc="0" locked="0" layoutInCell="1" allowOverlap="1" wp14:anchorId="2C8C1B45" wp14:editId="15FEE456">
              <wp:simplePos x="0" y="0"/>
              <wp:positionH relativeFrom="margin">
                <wp:posOffset>-495300</wp:posOffset>
              </wp:positionH>
              <wp:positionV relativeFrom="margin">
                <wp:posOffset>-323850</wp:posOffset>
              </wp:positionV>
              <wp:extent cx="1638300" cy="457200"/>
              <wp:effectExtent l="0" t="0" r="0" b="0"/>
              <wp:wrapSquare wrapText="bothSides"/>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6E6B" w:rsidRPr="00FC6EA4" w:rsidRDefault="008B76E4" w:rsidP="00C04D85">
                          <w:pPr>
                            <w:spacing w:line="288" w:lineRule="auto"/>
                            <w:jc w:val="center"/>
                            <w:rPr>
                              <w:sz w:val="16"/>
                              <w:szCs w:val="16"/>
                            </w:rPr>
                          </w:pPr>
                          <w:hyperlink r:id="rId1" w:history="1">
                            <w:r w:rsidR="00066E6B" w:rsidRPr="00FC6EA4">
                              <w:rPr>
                                <w:rStyle w:val="aa"/>
                                <w:rFonts w:hint="eastAsia"/>
                                <w:sz w:val="16"/>
                                <w:szCs w:val="16"/>
                              </w:rPr>
                              <w:t>www.royalbiotech.com</w:t>
                            </w:r>
                          </w:hyperlink>
                        </w:p>
                        <w:p w:rsidR="00C04D85" w:rsidRPr="00FC6EA4" w:rsidRDefault="008B76E4" w:rsidP="00FC6EA4">
                          <w:pPr>
                            <w:spacing w:line="288" w:lineRule="auto"/>
                            <w:jc w:val="center"/>
                            <w:rPr>
                              <w:sz w:val="16"/>
                              <w:szCs w:val="16"/>
                            </w:rPr>
                          </w:pPr>
                          <w:hyperlink r:id="rId2" w:history="1">
                            <w:r w:rsidR="00066E6B" w:rsidRPr="00FC6EA4">
                              <w:rPr>
                                <w:rStyle w:val="aa"/>
                                <w:rFonts w:hint="eastAsia"/>
                                <w:sz w:val="16"/>
                                <w:szCs w:val="16"/>
                              </w:rPr>
                              <w:t>info@royalbiotech.com</w:t>
                            </w:r>
                          </w:hyperlink>
                        </w:p>
                        <w:p w:rsidR="00C04D85" w:rsidRPr="00C04D85" w:rsidRDefault="00C04D85" w:rsidP="00C04D85">
                          <w:pPr>
                            <w:spacing w:line="288" w:lineRule="auto"/>
                            <w:jc w:val="center"/>
                            <w:rPr>
                              <w:rFonts w:asciiTheme="majorHAnsi" w:eastAsiaTheme="majorEastAsia" w:hAnsiTheme="majorHAnsi" w:cstheme="majorBidi"/>
                              <w:iCs/>
                              <w:color w:val="31849B" w:themeColor="accent5" w:themeShade="BF"/>
                              <w:sz w:val="16"/>
                              <w:szCs w:val="16"/>
                            </w:rPr>
                          </w:pPr>
                          <w:r w:rsidRPr="00C04D85">
                            <w:rPr>
                              <w:rFonts w:asciiTheme="majorHAnsi" w:eastAsiaTheme="majorEastAsia" w:hAnsiTheme="majorHAnsi" w:cstheme="majorBidi" w:hint="eastAsia"/>
                              <w:iCs/>
                              <w:color w:val="31849B" w:themeColor="accent5" w:themeShade="BF"/>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9pt;margin-top:-25.5pt;width:129pt;height: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" stroked="f">
              <v:textbox>
                <w:txbxContent>
                  <w:p w:rsidR="00066E6B" w:rsidRPr="00FC6EA4" w:rsidRDefault="00DA2944" w:rsidP="00C04D85">
                    <w:pPr>
                      <w:spacing w:line="288" w:lineRule="auto"/>
                      <w:jc w:val="center"/>
                      <w:rPr>
                        <w:sz w:val="16"/>
                        <w:szCs w:val="16"/>
                      </w:rPr>
                    </w:pPr>
                    <w:hyperlink r:id="rId3" w:history="1">
                      <w:r w:rsidR="00066E6B" w:rsidRPr="00FC6EA4">
                        <w:rPr>
                          <w:rStyle w:val="aa"/>
                          <w:rFonts w:hint="eastAsia"/>
                          <w:sz w:val="16"/>
                          <w:szCs w:val="16"/>
                        </w:rPr>
                        <w:t>www.royalbiotech.com</w:t>
                      </w:r>
                    </w:hyperlink>
                  </w:p>
                  <w:p w:rsidR="00C04D85" w:rsidRPr="00FC6EA4" w:rsidRDefault="00DA2944" w:rsidP="00FC6EA4">
                    <w:pPr>
                      <w:spacing w:line="288" w:lineRule="auto"/>
                      <w:jc w:val="center"/>
                      <w:rPr>
                        <w:sz w:val="16"/>
                        <w:szCs w:val="16"/>
                      </w:rPr>
                    </w:pPr>
                    <w:hyperlink r:id="rId4" w:history="1">
                      <w:r w:rsidR="00066E6B" w:rsidRPr="00FC6EA4">
                        <w:rPr>
                          <w:rStyle w:val="aa"/>
                          <w:rFonts w:hint="eastAsia"/>
                          <w:sz w:val="16"/>
                          <w:szCs w:val="16"/>
                        </w:rPr>
                        <w:t>info@royalbiotech.com</w:t>
                      </w:r>
                    </w:hyperlink>
                  </w:p>
                  <w:p w:rsidR="00C04D85" w:rsidRPr="00C04D85" w:rsidRDefault="00C04D85" w:rsidP="00C04D85">
                    <w:pPr>
                      <w:spacing w:line="288" w:lineRule="auto"/>
                      <w:jc w:val="center"/>
                      <w:rPr>
                        <w:rFonts w:asciiTheme="majorHAnsi" w:eastAsiaTheme="majorEastAsia" w:hAnsiTheme="majorHAnsi" w:cstheme="majorBidi"/>
                        <w:iCs/>
                        <w:color w:val="31849B" w:themeColor="accent5" w:themeShade="BF"/>
                        <w:sz w:val="16"/>
                        <w:szCs w:val="16"/>
                      </w:rPr>
                    </w:pPr>
                    <w:r w:rsidRPr="00C04D85">
                      <w:rPr>
                        <w:rFonts w:asciiTheme="majorHAnsi" w:eastAsiaTheme="majorEastAsia" w:hAnsiTheme="majorHAnsi" w:cstheme="majorBidi" w:hint="eastAsia"/>
                        <w:iCs/>
                        <w:color w:val="31849B" w:themeColor="accent5" w:themeShade="BF"/>
                        <w:sz w:val="16"/>
                        <w:szCs w:val="16"/>
                      </w:rPr>
                      <w:t xml:space="preserve"> </w:t>
                    </w:r>
                  </w:p>
                </w:txbxContent>
              </v:textbox>
              <w10:wrap type="square" anchorx="margin" anchory="margin"/>
            </v:shape>
          </w:pict>
        </mc:Fallback>
      </mc:AlternateContent>
    </w:r>
    <w:r w:rsidRPr="00F70B44">
      <w:rPr>
        <w:rFonts w:ascii="Candara" w:hAnsi="Candara"/>
        <w:noProof/>
        <w:color w:val="1D1B11" w:themeColor="background2" w:themeShade="1A"/>
      </w:rPr>
      <w:drawing>
        <wp:anchor distT="0" distB="0" distL="114300" distR="114300" simplePos="0" relativeHeight="251666432" behindDoc="0" locked="0" layoutInCell="1" allowOverlap="1" wp14:anchorId="6E8A688B" wp14:editId="4ED98A44">
          <wp:simplePos x="0" y="0"/>
          <wp:positionH relativeFrom="column">
            <wp:posOffset>-207645</wp:posOffset>
          </wp:positionH>
          <wp:positionV relativeFrom="paragraph">
            <wp:posOffset>-243205</wp:posOffset>
          </wp:positionV>
          <wp:extent cx="1139190" cy="330200"/>
          <wp:effectExtent l="0" t="0" r="3810" b="0"/>
          <wp:wrapNone/>
          <wp:docPr id="5" name="圖片 12" descr="R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b.jpg"/>
                  <pic:cNvPicPr/>
                </pic:nvPicPr>
                <pic:blipFill>
                  <a:blip r:embed="rId5">
                    <a:duotone>
                      <a:schemeClr val="accent1">
                        <a:shade val="45000"/>
                        <a:satMod val="135000"/>
                      </a:schemeClr>
                      <a:prstClr val="white"/>
                    </a:duotone>
                  </a:blip>
                  <a:stretch>
                    <a:fillRect/>
                  </a:stretch>
                </pic:blipFill>
                <pic:spPr>
                  <a:xfrm>
                    <a:off x="0" y="0"/>
                    <a:ext cx="1139190" cy="330200"/>
                  </a:xfrm>
                  <a:prstGeom prst="rect">
                    <a:avLst/>
                  </a:prstGeom>
                </pic:spPr>
              </pic:pic>
            </a:graphicData>
          </a:graphic>
          <wp14:sizeRelH relativeFrom="margin">
            <wp14:pctWidth>0</wp14:pctWidth>
          </wp14:sizeRelH>
          <wp14:sizeRelV relativeFrom="margin">
            <wp14:pctHeight>0</wp14:pctHeight>
          </wp14:sizeRelV>
        </wp:anchor>
      </w:drawing>
    </w:r>
    <w:r w:rsidR="00081277">
      <w:rPr>
        <w:rFonts w:ascii="ArmWrestler" w:hAnsi="ArmWrestler"/>
        <w:noProof/>
        <w:color w:val="404040" w:themeColor="text1" w:themeTint="BF"/>
        <w:sz w:val="32"/>
        <w:szCs w:val="32"/>
      </w:rPr>
      <mc:AlternateContent>
        <mc:Choice Requires="wps">
          <w:drawing>
            <wp:anchor distT="0" distB="0" distL="114300" distR="114300" simplePos="0" relativeHeight="251664384" behindDoc="0" locked="0" layoutInCell="1" allowOverlap="1" wp14:anchorId="0A9A3098" wp14:editId="5846DB2F">
              <wp:simplePos x="0" y="0"/>
              <wp:positionH relativeFrom="column">
                <wp:posOffset>1043940</wp:posOffset>
              </wp:positionH>
              <wp:positionV relativeFrom="paragraph">
                <wp:posOffset>-22225</wp:posOffset>
              </wp:positionV>
              <wp:extent cx="3436620" cy="533400"/>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343662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1277" w:rsidRPr="00081277" w:rsidRDefault="00FC40A9" w:rsidP="00081277">
                          <w:pPr>
                            <w:jc w:val="center"/>
                            <w:rPr>
                              <w:rFonts w:ascii="Cooper Black" w:hAnsi="Cooper Black"/>
                              <w:color w:val="404040" w:themeColor="text1" w:themeTint="BF"/>
                              <w:sz w:val="36"/>
                              <w:szCs w:val="36"/>
                            </w:rPr>
                          </w:pPr>
                          <w:r>
                            <w:rPr>
                              <w:rFonts w:ascii="Cooper Black" w:hAnsi="Cooper Black" w:hint="eastAsia"/>
                              <w:color w:val="404040" w:themeColor="text1" w:themeTint="BF"/>
                              <w:sz w:val="36"/>
                              <w:szCs w:val="36"/>
                            </w:rPr>
                            <w:t>Technical Data</w:t>
                          </w:r>
                          <w:r w:rsidR="00FC6EA4">
                            <w:rPr>
                              <w:rFonts w:ascii="Cooper Black" w:hAnsi="Cooper Black" w:hint="eastAsia"/>
                              <w:color w:val="404040" w:themeColor="text1" w:themeTint="BF"/>
                              <w:sz w:val="36"/>
                              <w:szCs w:val="36"/>
                            </w:rPr>
                            <w:t xml:space="preserve"> S</w:t>
                          </w:r>
                          <w:r>
                            <w:rPr>
                              <w:rFonts w:ascii="Cooper Black" w:hAnsi="Cooper Black" w:hint="eastAsia"/>
                              <w:color w:val="404040" w:themeColor="text1" w:themeTint="BF"/>
                              <w:sz w:val="36"/>
                              <w:szCs w:val="36"/>
                            </w:rPr>
                            <w:t>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82.2pt;margin-top:-1.75pt;width:270.6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" fillcolor="white [3201]" stroked="f" strokeweight=".5pt">
              <v:textbox>
                <w:txbxContent>
                  <w:p w:rsidR="00081277" w:rsidRPr="00081277" w:rsidRDefault="00FC40A9" w:rsidP="00081277">
                    <w:pPr>
                      <w:jc w:val="center"/>
                      <w:rPr>
                        <w:rFonts w:ascii="Cooper Black" w:hAnsi="Cooper Black"/>
                        <w:color w:val="404040" w:themeColor="text1" w:themeTint="BF"/>
                        <w:sz w:val="36"/>
                        <w:szCs w:val="36"/>
                      </w:rPr>
                    </w:pPr>
                    <w:r>
                      <w:rPr>
                        <w:rFonts w:ascii="Cooper Black" w:hAnsi="Cooper Black" w:hint="eastAsia"/>
                        <w:color w:val="404040" w:themeColor="text1" w:themeTint="BF"/>
                        <w:sz w:val="36"/>
                        <w:szCs w:val="36"/>
                      </w:rPr>
                      <w:t>Technical Data</w:t>
                    </w:r>
                    <w:r w:rsidR="00FC6EA4">
                      <w:rPr>
                        <w:rFonts w:ascii="Cooper Black" w:hAnsi="Cooper Black" w:hint="eastAsia"/>
                        <w:color w:val="404040" w:themeColor="text1" w:themeTint="BF"/>
                        <w:sz w:val="36"/>
                        <w:szCs w:val="36"/>
                      </w:rPr>
                      <w:t xml:space="preserve"> S</w:t>
                    </w:r>
                    <w:r>
                      <w:rPr>
                        <w:rFonts w:ascii="Cooper Black" w:hAnsi="Cooper Black" w:hint="eastAsia"/>
                        <w:color w:val="404040" w:themeColor="text1" w:themeTint="BF"/>
                        <w:sz w:val="36"/>
                        <w:szCs w:val="36"/>
                      </w:rPr>
                      <w:t>heet</w:t>
                    </w:r>
                  </w:p>
                </w:txbxContent>
              </v:textbox>
            </v:shape>
          </w:pict>
        </mc:Fallback>
      </mc:AlternateContent>
    </w:r>
    <w:r w:rsidR="00E17C3D">
      <w:rPr>
        <w:rFonts w:ascii="Candara" w:hAnsi="Candara"/>
        <w:noProof/>
        <w:color w:val="1D1B11" w:themeColor="background2" w:themeShade="1A"/>
      </w:rPr>
      <w:t xml:space="preserve"> </w:t>
    </w:r>
    <w:r w:rsidRPr="00FC6EA4">
      <w:rPr>
        <w:rFonts w:ascii="Arial" w:hAnsi="Arial" w:cs="Arial"/>
        <w:noProof/>
        <w:color w:val="1D1B11" w:themeColor="background2" w:themeShade="1A"/>
        <w:sz w:val="24"/>
        <w:szCs w:val="24"/>
      </w:rPr>
      <w:t>CBT-A01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2F4B0E"/>
    <w:multiLevelType w:val="hybridMultilevel"/>
    <w:tmpl w:val="72102EA4"/>
    <w:lvl w:ilvl="0" w:tplc="E648DB58">
      <w:start w:val="1"/>
      <w:numFmt w:val="decimal"/>
      <w:lvlText w:val="1.%1."/>
      <w:lvlJc w:val="left"/>
      <w:pPr>
        <w:ind w:left="360" w:hanging="360"/>
      </w:pPr>
      <w:rPr>
        <w:rFonts w:hint="default"/>
        <w:b/>
        <w:color w:val="00206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633"/>
    <w:rsid w:val="00066E6B"/>
    <w:rsid w:val="00081277"/>
    <w:rsid w:val="000B0021"/>
    <w:rsid w:val="000C5E3F"/>
    <w:rsid w:val="000E3129"/>
    <w:rsid w:val="00116FD9"/>
    <w:rsid w:val="00146D1F"/>
    <w:rsid w:val="00152A35"/>
    <w:rsid w:val="001543F8"/>
    <w:rsid w:val="001729AF"/>
    <w:rsid w:val="001D7D82"/>
    <w:rsid w:val="00234E62"/>
    <w:rsid w:val="00277DAD"/>
    <w:rsid w:val="00284BF6"/>
    <w:rsid w:val="002B1167"/>
    <w:rsid w:val="002B669A"/>
    <w:rsid w:val="002D729B"/>
    <w:rsid w:val="003238D1"/>
    <w:rsid w:val="003B0151"/>
    <w:rsid w:val="004940F6"/>
    <w:rsid w:val="00495CF8"/>
    <w:rsid w:val="00496052"/>
    <w:rsid w:val="004A582C"/>
    <w:rsid w:val="004D4E94"/>
    <w:rsid w:val="004F66A0"/>
    <w:rsid w:val="005003F3"/>
    <w:rsid w:val="00512223"/>
    <w:rsid w:val="00516476"/>
    <w:rsid w:val="00542032"/>
    <w:rsid w:val="005609D2"/>
    <w:rsid w:val="00562103"/>
    <w:rsid w:val="00566DA4"/>
    <w:rsid w:val="005717CC"/>
    <w:rsid w:val="00584CAE"/>
    <w:rsid w:val="00615761"/>
    <w:rsid w:val="0065681B"/>
    <w:rsid w:val="006653E1"/>
    <w:rsid w:val="00681507"/>
    <w:rsid w:val="00690A94"/>
    <w:rsid w:val="006D1633"/>
    <w:rsid w:val="00707969"/>
    <w:rsid w:val="007B4D50"/>
    <w:rsid w:val="007C2C25"/>
    <w:rsid w:val="007D39B8"/>
    <w:rsid w:val="007D5881"/>
    <w:rsid w:val="0084064A"/>
    <w:rsid w:val="0084509D"/>
    <w:rsid w:val="008B76E4"/>
    <w:rsid w:val="009014AB"/>
    <w:rsid w:val="009142FF"/>
    <w:rsid w:val="00957788"/>
    <w:rsid w:val="009C7C73"/>
    <w:rsid w:val="00A163BF"/>
    <w:rsid w:val="00A637B7"/>
    <w:rsid w:val="00AE0B66"/>
    <w:rsid w:val="00AF68D9"/>
    <w:rsid w:val="00B72C82"/>
    <w:rsid w:val="00BD4B05"/>
    <w:rsid w:val="00C003BE"/>
    <w:rsid w:val="00C035A9"/>
    <w:rsid w:val="00C04D85"/>
    <w:rsid w:val="00C12873"/>
    <w:rsid w:val="00C32680"/>
    <w:rsid w:val="00C328CD"/>
    <w:rsid w:val="00C66830"/>
    <w:rsid w:val="00C82607"/>
    <w:rsid w:val="00C846AF"/>
    <w:rsid w:val="00CA0873"/>
    <w:rsid w:val="00CA53C9"/>
    <w:rsid w:val="00CD73BB"/>
    <w:rsid w:val="00CF0212"/>
    <w:rsid w:val="00D03B77"/>
    <w:rsid w:val="00D119EF"/>
    <w:rsid w:val="00D1303F"/>
    <w:rsid w:val="00D448CC"/>
    <w:rsid w:val="00D7647B"/>
    <w:rsid w:val="00D76774"/>
    <w:rsid w:val="00DA2944"/>
    <w:rsid w:val="00DF79AA"/>
    <w:rsid w:val="00E17C3D"/>
    <w:rsid w:val="00E20FE0"/>
    <w:rsid w:val="00E51D80"/>
    <w:rsid w:val="00E51FC7"/>
    <w:rsid w:val="00EC1AF5"/>
    <w:rsid w:val="00F142BB"/>
    <w:rsid w:val="00F233CE"/>
    <w:rsid w:val="00FC40A9"/>
    <w:rsid w:val="00FC6EA4"/>
    <w:rsid w:val="00FD36A5"/>
    <w:rsid w:val="00FE626A"/>
    <w:rsid w:val="00FF1A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標楷體" w:hAnsi="Arial" w:cs="Times New Roman"/>
        <w:position w:val="-30"/>
        <w:sz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QA內文"/>
    <w:qFormat/>
    <w:rsid w:val="006D1633"/>
    <w:pPr>
      <w:widowControl w:val="0"/>
    </w:pPr>
    <w:rPr>
      <w:rFonts w:asciiTheme="minorHAnsi" w:eastAsiaTheme="minorEastAsia" w:hAnsiTheme="minorHAnsi" w:cstheme="minorBidi"/>
      <w:kern w:val="2"/>
      <w:position w:val="0"/>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1633"/>
    <w:pPr>
      <w:tabs>
        <w:tab w:val="center" w:pos="4153"/>
        <w:tab w:val="right" w:pos="8306"/>
      </w:tabs>
      <w:snapToGrid w:val="0"/>
    </w:pPr>
    <w:rPr>
      <w:sz w:val="20"/>
      <w:szCs w:val="20"/>
    </w:rPr>
  </w:style>
  <w:style w:type="character" w:customStyle="1" w:styleId="a4">
    <w:name w:val="頁首 字元"/>
    <w:basedOn w:val="a0"/>
    <w:link w:val="a3"/>
    <w:uiPriority w:val="99"/>
    <w:rsid w:val="006D1633"/>
    <w:rPr>
      <w:rFonts w:asciiTheme="minorHAnsi" w:eastAsiaTheme="minorEastAsia" w:hAnsiTheme="minorHAnsi" w:cstheme="minorBidi"/>
      <w:kern w:val="2"/>
      <w:position w:val="0"/>
      <w:sz w:val="20"/>
    </w:rPr>
  </w:style>
  <w:style w:type="paragraph" w:styleId="a5">
    <w:name w:val="footer"/>
    <w:basedOn w:val="a"/>
    <w:link w:val="a6"/>
    <w:uiPriority w:val="99"/>
    <w:unhideWhenUsed/>
    <w:rsid w:val="006D1633"/>
    <w:pPr>
      <w:tabs>
        <w:tab w:val="center" w:pos="4153"/>
        <w:tab w:val="right" w:pos="8306"/>
      </w:tabs>
      <w:snapToGrid w:val="0"/>
    </w:pPr>
    <w:rPr>
      <w:sz w:val="20"/>
      <w:szCs w:val="20"/>
    </w:rPr>
  </w:style>
  <w:style w:type="character" w:customStyle="1" w:styleId="a6">
    <w:name w:val="頁尾 字元"/>
    <w:basedOn w:val="a0"/>
    <w:link w:val="a5"/>
    <w:uiPriority w:val="99"/>
    <w:rsid w:val="006D1633"/>
    <w:rPr>
      <w:rFonts w:asciiTheme="minorHAnsi" w:eastAsiaTheme="minorEastAsia" w:hAnsiTheme="minorHAnsi" w:cstheme="minorBidi"/>
      <w:kern w:val="2"/>
      <w:position w:val="0"/>
      <w:sz w:val="20"/>
    </w:rPr>
  </w:style>
  <w:style w:type="paragraph" w:styleId="a7">
    <w:name w:val="Balloon Text"/>
    <w:basedOn w:val="a"/>
    <w:link w:val="a8"/>
    <w:uiPriority w:val="99"/>
    <w:semiHidden/>
    <w:unhideWhenUsed/>
    <w:rsid w:val="006D1633"/>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6D1633"/>
    <w:rPr>
      <w:rFonts w:asciiTheme="majorHAnsi" w:eastAsiaTheme="majorEastAsia" w:hAnsiTheme="majorHAnsi" w:cstheme="majorBidi"/>
      <w:kern w:val="2"/>
      <w:position w:val="0"/>
      <w:sz w:val="18"/>
      <w:szCs w:val="18"/>
    </w:rPr>
  </w:style>
  <w:style w:type="table" w:styleId="a9">
    <w:name w:val="Table Grid"/>
    <w:basedOn w:val="a1"/>
    <w:uiPriority w:val="59"/>
    <w:rsid w:val="006D1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495CF8"/>
    <w:rPr>
      <w:color w:val="0000FF" w:themeColor="hyperlink"/>
      <w:u w:val="single"/>
    </w:rPr>
  </w:style>
  <w:style w:type="paragraph" w:customStyle="1" w:styleId="Default">
    <w:name w:val="Default"/>
    <w:rsid w:val="00234E62"/>
    <w:pPr>
      <w:widowControl w:val="0"/>
      <w:autoSpaceDE w:val="0"/>
      <w:autoSpaceDN w:val="0"/>
      <w:adjustRightInd w:val="0"/>
    </w:pPr>
    <w:rPr>
      <w:rFonts w:eastAsiaTheme="minorEastAsia" w:cs="Arial"/>
      <w:color w:val="000000"/>
      <w:position w:val="0"/>
      <w:szCs w:val="24"/>
    </w:rPr>
  </w:style>
  <w:style w:type="paragraph" w:styleId="ab">
    <w:name w:val="List Paragraph"/>
    <w:basedOn w:val="a"/>
    <w:uiPriority w:val="34"/>
    <w:qFormat/>
    <w:rsid w:val="00234E62"/>
    <w:pPr>
      <w:ind w:leftChars="200" w:left="480"/>
    </w:pPr>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標楷體" w:hAnsi="Arial" w:cs="Times New Roman"/>
        <w:position w:val="-30"/>
        <w:sz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QA內文"/>
    <w:qFormat/>
    <w:rsid w:val="006D1633"/>
    <w:pPr>
      <w:widowControl w:val="0"/>
    </w:pPr>
    <w:rPr>
      <w:rFonts w:asciiTheme="minorHAnsi" w:eastAsiaTheme="minorEastAsia" w:hAnsiTheme="minorHAnsi" w:cstheme="minorBidi"/>
      <w:kern w:val="2"/>
      <w:position w:val="0"/>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1633"/>
    <w:pPr>
      <w:tabs>
        <w:tab w:val="center" w:pos="4153"/>
        <w:tab w:val="right" w:pos="8306"/>
      </w:tabs>
      <w:snapToGrid w:val="0"/>
    </w:pPr>
    <w:rPr>
      <w:sz w:val="20"/>
      <w:szCs w:val="20"/>
    </w:rPr>
  </w:style>
  <w:style w:type="character" w:customStyle="1" w:styleId="a4">
    <w:name w:val="頁首 字元"/>
    <w:basedOn w:val="a0"/>
    <w:link w:val="a3"/>
    <w:uiPriority w:val="99"/>
    <w:rsid w:val="006D1633"/>
    <w:rPr>
      <w:rFonts w:asciiTheme="minorHAnsi" w:eastAsiaTheme="minorEastAsia" w:hAnsiTheme="minorHAnsi" w:cstheme="minorBidi"/>
      <w:kern w:val="2"/>
      <w:position w:val="0"/>
      <w:sz w:val="20"/>
    </w:rPr>
  </w:style>
  <w:style w:type="paragraph" w:styleId="a5">
    <w:name w:val="footer"/>
    <w:basedOn w:val="a"/>
    <w:link w:val="a6"/>
    <w:uiPriority w:val="99"/>
    <w:unhideWhenUsed/>
    <w:rsid w:val="006D1633"/>
    <w:pPr>
      <w:tabs>
        <w:tab w:val="center" w:pos="4153"/>
        <w:tab w:val="right" w:pos="8306"/>
      </w:tabs>
      <w:snapToGrid w:val="0"/>
    </w:pPr>
    <w:rPr>
      <w:sz w:val="20"/>
      <w:szCs w:val="20"/>
    </w:rPr>
  </w:style>
  <w:style w:type="character" w:customStyle="1" w:styleId="a6">
    <w:name w:val="頁尾 字元"/>
    <w:basedOn w:val="a0"/>
    <w:link w:val="a5"/>
    <w:uiPriority w:val="99"/>
    <w:rsid w:val="006D1633"/>
    <w:rPr>
      <w:rFonts w:asciiTheme="minorHAnsi" w:eastAsiaTheme="minorEastAsia" w:hAnsiTheme="minorHAnsi" w:cstheme="minorBidi"/>
      <w:kern w:val="2"/>
      <w:position w:val="0"/>
      <w:sz w:val="20"/>
    </w:rPr>
  </w:style>
  <w:style w:type="paragraph" w:styleId="a7">
    <w:name w:val="Balloon Text"/>
    <w:basedOn w:val="a"/>
    <w:link w:val="a8"/>
    <w:uiPriority w:val="99"/>
    <w:semiHidden/>
    <w:unhideWhenUsed/>
    <w:rsid w:val="006D1633"/>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6D1633"/>
    <w:rPr>
      <w:rFonts w:asciiTheme="majorHAnsi" w:eastAsiaTheme="majorEastAsia" w:hAnsiTheme="majorHAnsi" w:cstheme="majorBidi"/>
      <w:kern w:val="2"/>
      <w:position w:val="0"/>
      <w:sz w:val="18"/>
      <w:szCs w:val="18"/>
    </w:rPr>
  </w:style>
  <w:style w:type="table" w:styleId="a9">
    <w:name w:val="Table Grid"/>
    <w:basedOn w:val="a1"/>
    <w:uiPriority w:val="59"/>
    <w:rsid w:val="006D1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495CF8"/>
    <w:rPr>
      <w:color w:val="0000FF" w:themeColor="hyperlink"/>
      <w:u w:val="single"/>
    </w:rPr>
  </w:style>
  <w:style w:type="paragraph" w:customStyle="1" w:styleId="Default">
    <w:name w:val="Default"/>
    <w:rsid w:val="00234E62"/>
    <w:pPr>
      <w:widowControl w:val="0"/>
      <w:autoSpaceDE w:val="0"/>
      <w:autoSpaceDN w:val="0"/>
      <w:adjustRightInd w:val="0"/>
    </w:pPr>
    <w:rPr>
      <w:rFonts w:eastAsiaTheme="minorEastAsia" w:cs="Arial"/>
      <w:color w:val="000000"/>
      <w:position w:val="0"/>
      <w:szCs w:val="24"/>
    </w:rPr>
  </w:style>
  <w:style w:type="paragraph" w:styleId="ab">
    <w:name w:val="List Paragraph"/>
    <w:basedOn w:val="a"/>
    <w:uiPriority w:val="34"/>
    <w:qFormat/>
    <w:rsid w:val="00234E62"/>
    <w:pPr>
      <w:ind w:leftChars="200" w:left="48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hyperlink" Target="http://www.royalbiotech.com" TargetMode="External"/><Relationship Id="rId2" Type="http://schemas.openxmlformats.org/officeDocument/2006/relationships/hyperlink" Target="mailto:info@royalbiotech.com" TargetMode="External"/><Relationship Id="rId1" Type="http://schemas.openxmlformats.org/officeDocument/2006/relationships/hyperlink" Target="http://www.royalbiotech.com" TargetMode="External"/><Relationship Id="rId5" Type="http://schemas.openxmlformats.org/officeDocument/2006/relationships/image" Target="media/image2.jpeg"/><Relationship Id="rId4" Type="http://schemas.openxmlformats.org/officeDocument/2006/relationships/hyperlink" Target="mailto:info@royalbiotech.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582</Words>
  <Characters>3322</Characters>
  <Application>Microsoft Office Word</Application>
  <DocSecurity>0</DocSecurity>
  <Lines>27</Lines>
  <Paragraphs>7</Paragraphs>
  <ScaleCrop>false</ScaleCrop>
  <Company/>
  <LinksUpToDate>false</LinksUpToDate>
  <CharactersWithSpaces>3897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2015-11-11T02:46:00Z</cp:lastPrinted>
  <dcterms:created xsi:type="dcterms:W3CDTF">2015-11-11T04:08:00Z</dcterms:created>
  <dcterms:modified xsi:type="dcterms:W3CDTF">2015-11-11T04:21:00Z</dcterms:modified>
</cp:coreProperties>
</file>